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349A1">
      <w:pPr>
        <w:numPr>
          <w:ilvl w:val="0"/>
          <w:numId w:val="0"/>
        </w:numPr>
        <w:ind w:right="0" w:rightChars="0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2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2"/>
          <w:sz w:val="28"/>
          <w:szCs w:val="28"/>
          <w:lang w:val="en-US" w:eastAsia="zh-CN"/>
        </w:rPr>
        <w:t>附件2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2"/>
          <w:sz w:val="28"/>
          <w:szCs w:val="28"/>
          <w:lang w:eastAsia="zh-CN"/>
        </w:rPr>
        <w:t>：</w:t>
      </w:r>
    </w:p>
    <w:p w14:paraId="3FE97717">
      <w:pPr>
        <w:numPr>
          <w:ilvl w:val="0"/>
          <w:numId w:val="0"/>
        </w:numPr>
        <w:ind w:right="0" w:rightChars="0"/>
        <w:jc w:val="center"/>
        <w:rPr>
          <w:rFonts w:hint="eastAsia" w:ascii="Times New Roman" w:hAnsi="Times New Roman" w:cs="Times New Roman"/>
          <w:b/>
          <w:bCs/>
          <w:color w:val="000000"/>
          <w:kern w:val="2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</w:rPr>
        <w:t>技术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lang w:val="en-US" w:eastAsia="zh-CN"/>
        </w:rPr>
        <w:t>服务内容及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</w:rPr>
        <w:t>要求</w:t>
      </w:r>
    </w:p>
    <w:bookmarkEnd w:id="0"/>
    <w:p w14:paraId="5540CA4C">
      <w:pPr>
        <w:numPr>
          <w:ilvl w:val="0"/>
          <w:numId w:val="0"/>
        </w:numPr>
        <w:ind w:right="0" w:rightChars="0"/>
        <w:rPr>
          <w:rFonts w:hint="eastAsia" w:ascii="Times New Roman" w:hAnsi="Times New Roman" w:cs="Times New Roman"/>
          <w:b/>
          <w:bCs/>
          <w:color w:val="000000"/>
          <w:kern w:val="2"/>
          <w:sz w:val="32"/>
          <w:szCs w:val="32"/>
        </w:rPr>
      </w:pPr>
    </w:p>
    <w:p w14:paraId="08F77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一、项目概况</w:t>
      </w:r>
    </w:p>
    <w:p w14:paraId="4DD5CC5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为进一步优化我院官方网站服务功能，现对互联网门户网站建设及运维服务采购项目进行比选采购，欢迎符合条件的供应商参与比选。</w:t>
      </w:r>
    </w:p>
    <w:p w14:paraId="5517E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二、服务内容</w:t>
      </w:r>
    </w:p>
    <w:tbl>
      <w:tblPr>
        <w:tblStyle w:val="2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" w:type="dxa"/>
          <w:left w:w="12" w:type="dxa"/>
          <w:bottom w:w="0" w:type="dxa"/>
          <w:right w:w="12" w:type="dxa"/>
        </w:tblCellMar>
      </w:tblPr>
      <w:tblGrid>
        <w:gridCol w:w="811"/>
        <w:gridCol w:w="1452"/>
        <w:gridCol w:w="6448"/>
      </w:tblGrid>
      <w:tr w14:paraId="7116D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jc w:val="center"/>
        </w:trPr>
        <w:tc>
          <w:tcPr>
            <w:tcW w:w="811" w:type="dxa"/>
          </w:tcPr>
          <w:p w14:paraId="2C552697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序号</w:t>
            </w:r>
          </w:p>
        </w:tc>
        <w:tc>
          <w:tcPr>
            <w:tcW w:w="1452" w:type="dxa"/>
          </w:tcPr>
          <w:p w14:paraId="46607C8B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服务内容</w:t>
            </w:r>
          </w:p>
        </w:tc>
        <w:tc>
          <w:tcPr>
            <w:tcW w:w="6448" w:type="dxa"/>
          </w:tcPr>
          <w:p w14:paraId="13B25A9E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技术参数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要求</w:t>
            </w:r>
          </w:p>
        </w:tc>
      </w:tr>
      <w:tr w14:paraId="363D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jc w:val="center"/>
        </w:trPr>
        <w:tc>
          <w:tcPr>
            <w:tcW w:w="811" w:type="dxa"/>
          </w:tcPr>
          <w:p w14:paraId="383B8BC0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1</w:t>
            </w:r>
          </w:p>
        </w:tc>
        <w:tc>
          <w:tcPr>
            <w:tcW w:w="1452" w:type="dxa"/>
          </w:tcPr>
          <w:p w14:paraId="68D6136E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互联网门户网站建设</w:t>
            </w:r>
          </w:p>
        </w:tc>
        <w:tc>
          <w:tcPr>
            <w:tcW w:w="6448" w:type="dxa"/>
          </w:tcPr>
          <w:p w14:paraId="5F19D325">
            <w:pPr>
              <w:numPr>
                <w:ilvl w:val="0"/>
                <w:numId w:val="0"/>
              </w:numP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  <w:t>互联网门户网站建设</w:t>
            </w:r>
          </w:p>
          <w:p w14:paraId="5CE3DCE8">
            <w:pPr>
              <w:numPr>
                <w:ilvl w:val="0"/>
                <w:numId w:val="0"/>
              </w:numP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核心栏目包含医院简介、特色专科、名医专家、新闻公告动态、中医养生、就医服务、党建动态、医院荣誉、联系方式、合规信息栏等模块。首页支持自定义模块调整、内容轮播、弹窗公告，可后台自由配置。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系统采用B/S架构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基于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JAVA、Velocity模块语言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HTML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、Vue.Js、CSS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技术构建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，前后端分离开发，支持适配国产化服务器及操作系统。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数据库支持PostgreSql/MySQL/PolarDB迁移和切换，支持数据备份、迁移、恢复。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4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前台展示与后台管理分离，模块化设计，各栏目独立部署、独立管理，支持后期功能迭代、栏目新增、模块删减。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5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正常网络环境下页面平均响应时间≤3秒，全站静态化处理。符合W3C国际网页标准，兼容Chrome、Edge、360、国产化浏览器等主流浏览器。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6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支持分级权限管理，可设置超级管理员、普通编辑、审核人员等不同权限账号，区分内容发布、审核、修改、删除权限，支持内容发布三级审核。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7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具备内容管理功能：文章发布、图文编辑、视频上传、栏目管理、首页模块配置、轮播图管理、公告弹窗设置、留言管理。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8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配合医院完成ICP备案、公安备案，网站底部标注备案号、医院地址、监督电话、版权信息。</w:t>
            </w:r>
          </w:p>
          <w:p w14:paraId="6A3E5912">
            <w:pPr>
              <w:numPr>
                <w:ilvl w:val="0"/>
                <w:numId w:val="0"/>
              </w:numP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highlight w:val="none"/>
                <w:lang w:val="en-US" w:eastAsia="zh-CN"/>
              </w:rPr>
              <w:t>★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9.提供系统原型图截图。</w:t>
            </w:r>
          </w:p>
          <w:p w14:paraId="55295679">
            <w:pPr>
              <w:numPr>
                <w:ilvl w:val="0"/>
                <w:numId w:val="0"/>
              </w:numP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lang w:val="en-US" w:eastAsia="zh-CN"/>
              </w:rPr>
              <w:t>（二）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运行环境及安全保障服务</w:t>
            </w:r>
          </w:p>
          <w:p w14:paraId="2D89AAE8">
            <w:pPr>
              <w:numPr>
                <w:ilvl w:val="0"/>
                <w:numId w:val="0"/>
              </w:numP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10.云服务器：CPU≥4核，内存≥8G，系统盘容量≥50G，数据盘容量≥200G，带宽≥5M。具备基础运行监控、系统日志留存功能。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★11.主机安全：具备资产指纹识别、入侵检测、安全预警、漏洞管理、高级威胁检测、漏洞检测能力；支持服务器资产统一管理、异常行为告警、恶意进程识别、系统漏洞扫描与风险提示。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★12.Web应用防护：支持抵御SQL注入、XSS跨站脚本攻击、溢出攻击、暴力破解、提权攻击、木马后门植入、恶意代码执行等常见Web攻击；具备网页防篡改功能。支持查杀网页恶意脚本、病毒、木马、后门程序，实时拦截恶意请求，支持防护策略自定义配置与更新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★13.防火墙及DDoS防护：具备CC攻击防护、分布式拒绝服务攻击（DDoS）防护能力，支持抵御流量型、连接型攻击。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★14.运维堡垒主机：提供服务器身份验证、账号统一管理、权限授权控制、全程操作审计功能；支持账号单点登录、密码托管、高危指令管控、会话全程录像审计。留存运维操作日志、录像，满足等保三级运维审计及医疗信息合规管理要求，支持违规操作追溯、阻断与告警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★15.安全访问控制：设置访问控制策略，仅开放医院官网业务运行必需的IP地址及通信端口；配置默认拒绝所有访问的策略；实现网络访问边界管控，禁止非授权地址、非必要端口接入服务器；支持策略变更审计与日志留存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16.数据备份：提供不少于5份版本的数据云快照备份，支持快照恢复验证。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★17.SSL证书：部署SSL证书，实现医院门户网站全站HTTPS加密访问部署。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★18.全站IPv6网络适配：支持双协议栈访问（IPv4+IPv6）。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19.域名合规：域名注册、备案且符合相关域名管理规定。</w:t>
            </w:r>
          </w:p>
        </w:tc>
      </w:tr>
      <w:tr w14:paraId="28D6C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jc w:val="center"/>
        </w:trPr>
        <w:tc>
          <w:tcPr>
            <w:tcW w:w="811" w:type="dxa"/>
          </w:tcPr>
          <w:p w14:paraId="28955034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</w:t>
            </w:r>
          </w:p>
        </w:tc>
        <w:tc>
          <w:tcPr>
            <w:tcW w:w="1452" w:type="dxa"/>
          </w:tcPr>
          <w:p w14:paraId="1CE05395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日常运维服务</w:t>
            </w:r>
          </w:p>
        </w:tc>
        <w:tc>
          <w:tcPr>
            <w:tcW w:w="6448" w:type="dxa"/>
          </w:tcPr>
          <w:p w14:paraId="582D46B7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20.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内容运维：配合医院信息科/宣传科室完成官网通知公告、政策文件、科室介绍、专家信息、健康宣教、便民服务等信息的发布、排版、审核、更新、下架操作；定期检查页面排版错乱、链接失效、图片异常、附件无法下载等问题并及时修复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系统巡检：每日执行网站可用性巡检（页面访问、链接状态、访问速度、表单功能）；每周进行服务器运行状态巡检（CPU、内存、磁盘、带宽使用率、系统进程、日志异常）；每月进行全站页面健康检查、死链接检测、兼容性测试（主流浏览器、手机端适配），并输出月度运维巡检报告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22.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功能及组件维护：根据医院要求，对现有的系统进行功能升级、定期检查网站CMS系统、插件、应用组件版本，进行非破坏性版本更新、补丁修复；做好更新前备份。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23.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域名与基础服务运维：监控域名有效期、解析状态、备案状态，及时办理备案变更、年审等相关事项；监控SSL证书有效期，提前完成续期部署；监控CDN及访问链路状态。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24.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节假日、医院重要公告发布、大型义诊/宣教活动期间，开启7×24小时重点值守，加强流量监控、攻击防护、页面防篡改监测。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25.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配合上级卫健部门、网信部门开展网站自查、巡检、信息核查、整改工作，按时提交自查报告及整改资料。</w:t>
            </w:r>
          </w:p>
        </w:tc>
      </w:tr>
    </w:tbl>
    <w:p w14:paraId="7A127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三、运维服务要求</w:t>
      </w:r>
    </w:p>
    <w:p w14:paraId="138B0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运维人员具备信息安全管理或网站项目管理经验，负责整体服务统筹、月报提交、沟通对接、合规对接、重大事件协调处理。</w:t>
      </w:r>
    </w:p>
    <w:p w14:paraId="06609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2.运维人员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熟悉JAVA、Velocity模块语言，熟悉HTML、Vue.Js、CSS等前端开发框架，熟悉Mysql数据库。具备网站服务器运维、Web安全防护、Linux/Windows服务器运维、CMS网站运维相关能力，熟悉等保三级安全基线、网页防篡改、漏洞修复备份恢复工作；可处理网站篡改、异常访问、漏洞隐患、服务器故障等问题。</w:t>
      </w:r>
    </w:p>
    <w:p w14:paraId="6C9DD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整体服务周期内提供原厂技术支持、持续版本更新、病毒库/防护策略自动更新；建立专属沟通渠道（对接群、电话、邮箱），定期沟通运维状况。</w:t>
      </w:r>
    </w:p>
    <w:p w14:paraId="57C8D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四、商务要求</w:t>
      </w:r>
    </w:p>
    <w:p w14:paraId="73714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服务期限：本项目服务期限为1年，其中网站升级服务需在30日内完成并通过采购人验收。（1年合同期满后，经采购人考核合格，在年度预算能保障的前提下，针对网站系统空间提供及安全运维服务可续签下一年度合同，最多续签两次，总服务期限不超过三年。若考核不合格，采购人有权不予续签。）</w:t>
      </w:r>
    </w:p>
    <w:p w14:paraId="60549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2.服务地点：广元市利州区中医医院</w:t>
      </w:r>
    </w:p>
    <w:p w14:paraId="20D32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3.报价要求：</w:t>
      </w:r>
    </w:p>
    <w:p w14:paraId="6628D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固定总价报价，并分别报出互联网门户网站建设、日常运维服务的分项价格，日常运维服务费用将作为合同期满下一年度运维服务的费用。报价包括但不限于网站开发、部署、云服务器租赁，网络安全、日常运维人员费用、差旅费、税费等。</w:t>
      </w:r>
    </w:p>
    <w:p w14:paraId="4C102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4.付款方式</w:t>
      </w:r>
    </w:p>
    <w:p w14:paraId="6AAC0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（1）合同签订后，采购人支付合同金额的50%。</w:t>
      </w:r>
    </w:p>
    <w:p w14:paraId="7814E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（2）网站建设完成并试运行1个月后，经采购人验收通过，达到付款条件起15个工作日内，支付合同金额的50%。</w:t>
      </w:r>
    </w:p>
    <w:p w14:paraId="4B8A4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备注：如服务期限届满，需续签网站安全运维服务合同，付款方式另行约定。</w:t>
      </w:r>
    </w:p>
    <w:p w14:paraId="0BE60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5.验收、交付标准和⽅法</w:t>
      </w:r>
    </w:p>
    <w:p w14:paraId="4162D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验收时双方皆应派员参加，验收合格后需双方签署验收单；参照《财政部关于进一步加强政府采购需求和履约验收管理的指导意见》（财库〔2016〕205号）等政府采购相关法律法规，以及比选文件、成交供应商的响应文件及合同进行验收。</w:t>
      </w:r>
    </w:p>
    <w:p w14:paraId="09E48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6.违约责任与解决争议的⽅法</w:t>
      </w:r>
    </w:p>
    <w:p w14:paraId="17912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（1）双⽅应按照合同约定全⾯履⾏合同义务，任何⼀⽅未按合同约定履⾏义务，对⽅可终⽌合同履⾏，并追究违约⽅违约责任.</w:t>
      </w:r>
    </w:p>
    <w:p w14:paraId="08850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（2）如因成交供应商⼯作⼈员在履⾏职务过程中的疏忽、失职、过错等故意或者过失原因给采购⽅造成损失或侵害，应包括采购⽅本⾝的财产损失、由此⽽导致的采购⽅对任何第三⽅的法律责任等，成交供应商对此均应承担全部的赔偿责任。</w:t>
      </w:r>
    </w:p>
    <w:p w14:paraId="69FAA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7.知识产权</w:t>
      </w:r>
    </w:p>
    <w:p w14:paraId="5853C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供应商在本项⽬使⽤的任何产品和服务(包括部分使⽤)时，不会产⽣因第三⽅提出侵犯其专利权、商标权或其它知识产权⽽引起的法律和经济纠纷，如因专利权、商标权或其它知识产权⽽引起法律和经济纠纷，由供应商承担所有相关责任。除⾮招标⽂件特别规定，采购⼈享有本项⽬实施过程中产⽣的知识成果及知识产权。</w:t>
      </w:r>
    </w:p>
    <w:p w14:paraId="6FBBD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8.其他未尽事宜在合同中约定。</w:t>
      </w:r>
    </w:p>
    <w:p w14:paraId="751126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;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37193"/>
    <w:rsid w:val="11B3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line="480" w:lineRule="exact"/>
      <w:jc w:val="both"/>
    </w:pPr>
    <w:rPr>
      <w:rFonts w:ascii="Times New Roman" w:hAnsi="Times New Roman" w:eastAsia="仿宋_GB2312;仿宋" w:cs="Times New Roman"/>
      <w:color w:val="auto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6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2026-09-01T01:12:00Z</dcterms:created>
  <dc:creator>Administrator</dc:creator>
  <cp:lastModifiedBy>Administrator</cp:lastModifiedBy>
  <dcterms:modified xsi:type="dcterms:W3CDTF">2026-09-01T01:17:15Z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69DC69FB4FBD49FABB73BCF7F6FF671F_11</vt:lpwstr>
  </property>
  <property fmtid="{D5CDD505-2E9C-101B-9397-08002B2CF9AE}" pid="4" name="KSOTemplateDocerSaveRecord">
    <vt:lpwstr>eyJoZGlkIjoiOTdhOTE2YTBmOWVjODZjZmYyN2FhZjI5NjFiYWIyNTIiLCJ1c2VySWQiOiIxNTA2MzQ1NDgzIn0=</vt:lpwstr>
  </property>
</Properties>
</file>