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4D341">
      <w:pPr>
        <w:rPr>
          <w:rFonts w:hint="eastAsia" w:ascii="宋体-方正超大字符集" w:hAnsi="宋体-方正超大字符集" w:eastAsia="宋体-方正超大字符集" w:cs="宋体-方正超大字符集"/>
          <w:sz w:val="28"/>
          <w:szCs w:val="28"/>
        </w:rPr>
      </w:pPr>
      <w:r>
        <w:rPr>
          <w:rFonts w:hint="eastAsia" w:ascii="宋体-方正超大字符集" w:hAnsi="宋体-方正超大字符集" w:eastAsia="宋体-方正超大字符集" w:cs="宋体-方正超大字符集"/>
          <w:sz w:val="28"/>
          <w:szCs w:val="28"/>
        </w:rPr>
        <w:t>附件</w:t>
      </w:r>
      <w:r>
        <w:rPr>
          <w:rFonts w:hint="eastAsia" w:ascii="宋体-方正超大字符集" w:hAnsi="宋体-方正超大字符集" w:eastAsia="宋体-方正超大字符集" w:cs="宋体-方正超大字符集"/>
          <w:sz w:val="28"/>
          <w:szCs w:val="28"/>
          <w:lang w:val="en-US" w:eastAsia="zh-CN"/>
        </w:rPr>
        <w:t>1</w:t>
      </w:r>
      <w:r>
        <w:rPr>
          <w:rFonts w:hint="eastAsia" w:ascii="宋体-方正超大字符集" w:hAnsi="宋体-方正超大字符集" w:eastAsia="宋体-方正超大字符集" w:cs="宋体-方正超大字符集"/>
          <w:sz w:val="28"/>
          <w:szCs w:val="28"/>
        </w:rPr>
        <w:t>：</w:t>
      </w:r>
    </w:p>
    <w:p w14:paraId="5C3620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sz w:val="44"/>
          <w:szCs w:val="44"/>
        </w:rPr>
        <w:t>综合评分法评分表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"/>
        <w:gridCol w:w="1281"/>
        <w:gridCol w:w="10534"/>
        <w:gridCol w:w="1200"/>
      </w:tblGrid>
      <w:tr w14:paraId="1134E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4" w:type="dxa"/>
          </w:tcPr>
          <w:p w14:paraId="361C236B">
            <w:pPr>
              <w:jc w:val="center"/>
              <w:rPr>
                <w:rFonts w:hint="eastAsia" w:ascii="宋体-方正超大字符集" w:hAnsi="宋体-方正超大字符集" w:eastAsia="宋体-方正超大字符集" w:cs="宋体-方正超大字符集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-方正超大字符集" w:hAnsi="宋体-方正超大字符集" w:eastAsia="宋体-方正超大字符集" w:cs="宋体-方正超大字符集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281" w:type="dxa"/>
          </w:tcPr>
          <w:p w14:paraId="39FA1106">
            <w:pPr>
              <w:jc w:val="center"/>
              <w:rPr>
                <w:rFonts w:hint="default" w:ascii="宋体-方正超大字符集" w:hAnsi="宋体-方正超大字符集" w:eastAsia="宋体-方正超大字符集" w:cs="宋体-方正超大字符集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-方正超大字符集" w:hAnsi="宋体-方正超大字符集" w:eastAsia="宋体-方正超大字符集" w:cs="宋体-方正超大字符集"/>
                <w:sz w:val="32"/>
                <w:szCs w:val="32"/>
                <w:vertAlign w:val="baseline"/>
                <w:lang w:val="en-US" w:eastAsia="zh-CN"/>
              </w:rPr>
              <w:t>评审项</w:t>
            </w:r>
          </w:p>
        </w:tc>
        <w:tc>
          <w:tcPr>
            <w:tcW w:w="10534" w:type="dxa"/>
          </w:tcPr>
          <w:p w14:paraId="6EACDF15">
            <w:pPr>
              <w:jc w:val="center"/>
              <w:rPr>
                <w:rFonts w:hint="eastAsia" w:ascii="宋体-方正超大字符集" w:hAnsi="宋体-方正超大字符集" w:eastAsia="宋体-方正超大字符集" w:cs="宋体-方正超大字符集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-方正超大字符集" w:hAnsi="宋体-方正超大字符集" w:eastAsia="宋体-方正超大字符集" w:cs="宋体-方正超大字符集"/>
                <w:sz w:val="32"/>
                <w:szCs w:val="32"/>
                <w:vertAlign w:val="baseline"/>
                <w:lang w:val="en-US" w:eastAsia="zh-CN"/>
              </w:rPr>
              <w:t>说明</w:t>
            </w:r>
          </w:p>
        </w:tc>
        <w:tc>
          <w:tcPr>
            <w:tcW w:w="1200" w:type="dxa"/>
          </w:tcPr>
          <w:p w14:paraId="3EEB5C3F">
            <w:pPr>
              <w:jc w:val="center"/>
              <w:rPr>
                <w:rFonts w:hint="eastAsia" w:ascii="宋体-方正超大字符集" w:hAnsi="宋体-方正超大字符集" w:eastAsia="宋体-方正超大字符集" w:cs="宋体-方正超大字符集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-方正超大字符集" w:hAnsi="宋体-方正超大字符集" w:eastAsia="宋体-方正超大字符集" w:cs="宋体-方正超大字符集"/>
                <w:sz w:val="32"/>
                <w:szCs w:val="32"/>
                <w:vertAlign w:val="baseline"/>
                <w:lang w:val="en-US" w:eastAsia="zh-CN"/>
              </w:rPr>
              <w:t>分值</w:t>
            </w:r>
          </w:p>
        </w:tc>
      </w:tr>
      <w:tr w14:paraId="28655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4" w:type="dxa"/>
            <w:vAlign w:val="center"/>
          </w:tcPr>
          <w:p w14:paraId="393D8273">
            <w:pPr>
              <w:jc w:val="center"/>
              <w:rPr>
                <w:rFonts w:hint="eastAsia" w:ascii="宋体-方正超大字符集" w:hAnsi="宋体-方正超大字符集" w:eastAsia="宋体-方正超大字符集" w:cs="宋体-方正超大字符集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-方正超大字符集" w:hAnsi="宋体-方正超大字符集" w:eastAsia="宋体-方正超大字符集" w:cs="宋体-方正超大字符集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281" w:type="dxa"/>
            <w:vAlign w:val="center"/>
          </w:tcPr>
          <w:p w14:paraId="6E1C834B">
            <w:pPr>
              <w:jc w:val="center"/>
              <w:rPr>
                <w:rFonts w:hint="eastAsia" w:ascii="宋体-方正超大字符集" w:hAnsi="宋体-方正超大字符集" w:eastAsia="宋体-方正超大字符集" w:cs="宋体-方正超大字符集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-方正超大字符集" w:hAnsi="宋体-方正超大字符集" w:eastAsia="宋体-方正超大字符集" w:cs="宋体-方正超大字符集"/>
                <w:sz w:val="32"/>
                <w:szCs w:val="32"/>
                <w:vertAlign w:val="baseline"/>
                <w:lang w:val="en-US" w:eastAsia="zh-CN"/>
              </w:rPr>
              <w:t>价格</w:t>
            </w:r>
          </w:p>
          <w:p w14:paraId="228E28FD">
            <w:pPr>
              <w:jc w:val="center"/>
              <w:rPr>
                <w:rFonts w:hint="default" w:ascii="宋体-方正超大字符集" w:hAnsi="宋体-方正超大字符集" w:eastAsia="宋体-方正超大字符集" w:cs="宋体-方正超大字符集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-方正超大字符集" w:hAnsi="宋体-方正超大字符集" w:eastAsia="宋体-方正超大字符集" w:cs="宋体-方正超大字符集"/>
                <w:sz w:val="32"/>
                <w:szCs w:val="32"/>
                <w:vertAlign w:val="baseline"/>
                <w:lang w:val="en-US" w:eastAsia="zh-CN"/>
              </w:rPr>
              <w:t>部分10%</w:t>
            </w:r>
          </w:p>
        </w:tc>
        <w:tc>
          <w:tcPr>
            <w:tcW w:w="10534" w:type="dxa"/>
          </w:tcPr>
          <w:p w14:paraId="5C379677">
            <w:pPr>
              <w:jc w:val="left"/>
              <w:rPr>
                <w:rFonts w:hint="eastAsia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</w:rPr>
            </w:pPr>
            <w:r>
              <w:rPr>
                <w:rFonts w:hint="eastAsia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</w:rPr>
              <w:t>以所有通过资格及符合性审查的有效供应商中，最低报价为基准价，基准价供应商得满分。其余供应商报价得分按公式计算：报价得分=（基准价／供应商报价）×</w: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  <w:lang w:val="en-US" w:eastAsia="zh-CN"/>
              </w:rPr>
              <w:t>1</w: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</w:rPr>
              <w:t>0。报价超过人民币</w: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color w:val="auto"/>
                <w:sz w:val="28"/>
                <w:szCs w:val="28"/>
                <w:vertAlign w:val="baseline"/>
              </w:rPr>
              <w:t>3万元</w: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</w:rPr>
              <w:t>的，视为无效响应。</w:t>
            </w:r>
          </w:p>
          <w:p w14:paraId="24D5582B">
            <w:pPr>
              <w:jc w:val="left"/>
              <w:rPr>
                <w:rFonts w:hint="eastAsia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</w:rPr>
            </w:pPr>
            <w:r>
              <w:rPr>
                <w:rFonts w:hint="eastAsia" w:ascii="宋体-方正超大字符集" w:hAnsi="宋体-方正超大字符集" w:eastAsia="宋体-方正超大字符集" w:cs="宋体-方正超大字符集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注：评分的取值按四舍五入法，保留小数点后两位。</w:t>
            </w:r>
          </w:p>
        </w:tc>
        <w:tc>
          <w:tcPr>
            <w:tcW w:w="1200" w:type="dxa"/>
            <w:vAlign w:val="center"/>
          </w:tcPr>
          <w:p w14:paraId="4979DF95">
            <w:pPr>
              <w:jc w:val="center"/>
              <w:rPr>
                <w:rFonts w:hint="default" w:ascii="宋体-方正超大字符集" w:hAnsi="宋体-方正超大字符集" w:eastAsia="宋体-方正超大字符集" w:cs="宋体-方正超大字符集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-方正超大字符集" w:hAnsi="宋体-方正超大字符集" w:eastAsia="宋体-方正超大字符集" w:cs="宋体-方正超大字符集"/>
                <w:sz w:val="32"/>
                <w:szCs w:val="32"/>
                <w:vertAlign w:val="baseline"/>
                <w:lang w:val="en-US" w:eastAsia="zh-CN"/>
              </w:rPr>
              <w:t>10分</w:t>
            </w:r>
          </w:p>
        </w:tc>
      </w:tr>
      <w:tr w14:paraId="4CE38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4" w:type="dxa"/>
            <w:vAlign w:val="center"/>
          </w:tcPr>
          <w:p w14:paraId="6AD5212E">
            <w:pPr>
              <w:jc w:val="center"/>
              <w:rPr>
                <w:rFonts w:hint="default" w:ascii="宋体-方正超大字符集" w:hAnsi="宋体-方正超大字符集" w:eastAsia="宋体-方正超大字符集" w:cs="宋体-方正超大字符集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-方正超大字符集" w:hAnsi="宋体-方正超大字符集" w:eastAsia="宋体-方正超大字符集" w:cs="宋体-方正超大字符集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281" w:type="dxa"/>
            <w:vAlign w:val="center"/>
          </w:tcPr>
          <w:p w14:paraId="6F611212">
            <w:pPr>
              <w:jc w:val="center"/>
              <w:rPr>
                <w:rFonts w:hint="default" w:ascii="宋体-方正超大字符集" w:hAnsi="宋体-方正超大字符集" w:eastAsia="宋体-方正超大字符集" w:cs="宋体-方正超大字符集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-方正超大字符集" w:hAnsi="宋体-方正超大字符集" w:eastAsia="宋体-方正超大字符集" w:cs="宋体-方正超大字符集"/>
                <w:sz w:val="32"/>
                <w:szCs w:val="32"/>
                <w:vertAlign w:val="baseline"/>
                <w:lang w:val="en-US" w:eastAsia="zh-CN"/>
              </w:rPr>
              <w:t>技术要求响应</w:t>
            </w:r>
            <w:r>
              <w:rPr>
                <w:rFonts w:hint="default" w:hAnsi="宋体-方正超大字符集" w:eastAsia="宋体-方正超大字符集" w:cs="宋体-方正超大字符集"/>
                <w:sz w:val="32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sz w:val="32"/>
                <w:szCs w:val="32"/>
                <w:vertAlign w:val="baseline"/>
                <w:lang w:val="en-US" w:eastAsia="zh-CN"/>
              </w:rPr>
              <w:t>0%</w:t>
            </w:r>
          </w:p>
        </w:tc>
        <w:tc>
          <w:tcPr>
            <w:tcW w:w="10534" w:type="dxa"/>
          </w:tcPr>
          <w:p w14:paraId="216A27ED">
            <w:pPr>
              <w:jc w:val="left"/>
              <w:rPr>
                <w:rFonts w:hint="eastAsia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</w:rPr>
              <w:t>完全满足</w: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  <w:lang w:val="en-US" w:eastAsia="zh-CN"/>
              </w:rPr>
              <w:t>竞争性比选文件（带“★”条款为必须满足项），</w: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</w:rPr>
              <w:t>“</w: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  <w:lang w:val="en-US" w:eastAsia="zh-CN"/>
              </w:rPr>
              <w:t>二、服务内容和三、运维服务要求</w: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</w:rPr>
              <w:t>”</w: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  <w:lang w:val="en-US" w:eastAsia="zh-CN"/>
              </w:rPr>
              <w:t>非“★”条款（共2</w:t>
            </w:r>
            <w:bookmarkStart w:id="0" w:name="_GoBack"/>
            <w:bookmarkEnd w:id="0"/>
            <w:r>
              <w:rPr>
                <w:rFonts w:hint="eastAsia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  <w:lang w:val="en-US" w:eastAsia="zh-CN"/>
              </w:rPr>
              <w:t>0条）</w: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</w:rPr>
              <w:t>的得</w:t>
            </w:r>
            <w:r>
              <w:rPr>
                <w:rFonts w:hint="default" w:hAnsi="宋体-方正超大字符集" w:eastAsia="宋体-方正超大字符集" w:cs="宋体-方正超大字符集"/>
                <w:sz w:val="28"/>
                <w:szCs w:val="28"/>
                <w:vertAlign w:val="baseline"/>
                <w:lang w:val="en-US"/>
              </w:rPr>
              <w:t>3</w: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  <w:lang w:val="en-US" w:eastAsia="zh-CN"/>
              </w:rPr>
              <w:t>0</w: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</w:rPr>
              <w:t>分</w: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  <w:lang w:eastAsia="zh-CN"/>
              </w:rPr>
              <w:t>，每有一项不满足的扣</w: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  <w:lang w:val="en-US" w:eastAsia="zh-CN"/>
              </w:rPr>
              <w:t>1.5</w: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  <w:lang w:eastAsia="zh-CN"/>
              </w:rPr>
              <w:t>分，</w: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  <w:lang w:val="en-US" w:eastAsia="zh-CN"/>
              </w:rPr>
              <w:t>扣完为止</w: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</w:rPr>
              <w:t>。</w:t>
            </w:r>
          </w:p>
          <w:p w14:paraId="7CC4369D">
            <w:pPr>
              <w:jc w:val="left"/>
              <w:rPr>
                <w:rFonts w:hint="eastAsia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</w:rPr>
            </w:pPr>
            <w:r>
              <w:rPr>
                <w:rFonts w:hint="eastAsia" w:ascii="宋体-方正超大字符集" w:hAnsi="宋体-方正超大字符集" w:eastAsia="宋体-方正超大字符集" w:cs="宋体-方正超大字符集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注：技</w: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术参数条款若</w: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竞争性比选</w: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文件有</w: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b w:val="0"/>
                <w:bCs w:val="0"/>
                <w:sz w:val="28"/>
                <w:szCs w:val="28"/>
                <w:vertAlign w:val="baseline"/>
              </w:rPr>
              <w:t>明确要求提供证明材料的</w: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b w:val="0"/>
                <w:bCs w:val="0"/>
                <w:sz w:val="28"/>
                <w:szCs w:val="28"/>
                <w:vertAlign w:val="baseline"/>
                <w:lang w:eastAsia="zh-CN"/>
              </w:rPr>
              <w:t>，则按</w: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比选</w: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文件的要求提供相关材料，</w: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b w:val="0"/>
                <w:bCs w:val="0"/>
                <w:sz w:val="28"/>
                <w:szCs w:val="28"/>
                <w:vertAlign w:val="baseline"/>
              </w:rPr>
              <w:t>否则对应参数条款将视为不满足</w: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。</w:t>
            </w:r>
          </w:p>
        </w:tc>
        <w:tc>
          <w:tcPr>
            <w:tcW w:w="1200" w:type="dxa"/>
            <w:vAlign w:val="center"/>
          </w:tcPr>
          <w:p w14:paraId="137DA10D">
            <w:pPr>
              <w:jc w:val="center"/>
              <w:rPr>
                <w:rFonts w:hint="eastAsia" w:ascii="宋体-方正超大字符集" w:hAnsi="宋体-方正超大字符集" w:eastAsia="宋体-方正超大字符集" w:cs="宋体-方正超大字符集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-方正超大字符集" w:hAnsi="宋体-方正超大字符集" w:eastAsia="宋体-方正超大字符集" w:cs="宋体-方正超大字符集"/>
                <w:sz w:val="32"/>
                <w:szCs w:val="32"/>
                <w:vertAlign w:val="baseline"/>
                <w:lang w:val="en-US" w:eastAsia="zh-CN"/>
              </w:rPr>
              <w:t>30分</w:t>
            </w:r>
          </w:p>
        </w:tc>
      </w:tr>
      <w:tr w14:paraId="42B93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4" w:type="dxa"/>
            <w:vAlign w:val="center"/>
          </w:tcPr>
          <w:p w14:paraId="318C5A08">
            <w:pPr>
              <w:jc w:val="center"/>
              <w:rPr>
                <w:rFonts w:hint="default" w:ascii="宋体-方正超大字符集" w:hAnsi="宋体-方正超大字符集" w:eastAsia="宋体-方正超大字符集" w:cs="宋体-方正超大字符集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-方正超大字符集" w:hAnsi="宋体-方正超大字符集" w:eastAsia="宋体-方正超大字符集" w:cs="宋体-方正超大字符集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281" w:type="dxa"/>
            <w:vAlign w:val="center"/>
          </w:tcPr>
          <w:p w14:paraId="0B06FDEE">
            <w:pPr>
              <w:jc w:val="center"/>
              <w:rPr>
                <w:rFonts w:hint="eastAsia" w:ascii="宋体-方正超大字符集" w:hAnsi="宋体-方正超大字符集" w:eastAsia="宋体-方正超大字符集" w:cs="宋体-方正超大字符集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-方正超大字符集" w:hAnsi="宋体-方正超大字符集" w:eastAsia="宋体-方正超大字符集" w:cs="宋体-方正超大字符集"/>
                <w:sz w:val="32"/>
                <w:szCs w:val="32"/>
                <w:vertAlign w:val="baseline"/>
                <w:lang w:val="en-US" w:eastAsia="zh-CN"/>
              </w:rPr>
              <w:t>履约能力</w:t>
            </w:r>
          </w:p>
          <w:p w14:paraId="74E4700A">
            <w:pPr>
              <w:jc w:val="center"/>
              <w:rPr>
                <w:rFonts w:hint="eastAsia" w:ascii="宋体-方正超大字符集" w:hAnsi="宋体-方正超大字符集" w:eastAsia="宋体-方正超大字符集" w:cs="宋体-方正超大字符集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-方正超大字符集" w:hAnsi="宋体-方正超大字符集" w:eastAsia="宋体-方正超大字符集" w:cs="宋体-方正超大字符集"/>
                <w:sz w:val="32"/>
                <w:szCs w:val="32"/>
                <w:vertAlign w:val="baseline"/>
                <w:lang w:val="en-US" w:eastAsia="zh-CN"/>
              </w:rPr>
              <w:t>20%</w:t>
            </w:r>
          </w:p>
        </w:tc>
        <w:tc>
          <w:tcPr>
            <w:tcW w:w="10534" w:type="dxa"/>
          </w:tcPr>
          <w:p w14:paraId="267D1CEF">
            <w:pPr>
              <w:jc w:val="left"/>
              <w:rPr>
                <w:rFonts w:hint="eastAsia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  <w:lang w:val="en-US" w:eastAsia="zh-CN"/>
              </w:rPr>
              <w:t>1.</w:t>
            </w:r>
            <w:r>
              <w:rPr>
                <w:rFonts w:hint="default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  <w:lang w:val="en-US" w:eastAsia="zh-CN"/>
              </w:rPr>
              <w:t>企业资质（5分）：</w: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  <w:lang w:val="en-US" w:eastAsia="zh-CN"/>
              </w:rPr>
              <w:t>具有类似软件著作权证书，每提供1个得2.5分，共5分。（提供有效证书复印件加盖供应商公章，不提供不得分）；</w:t>
            </w:r>
          </w:p>
          <w:p w14:paraId="712279E8">
            <w:pPr>
              <w:jc w:val="left"/>
              <w:rPr>
                <w:rFonts w:hint="eastAsia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  <w:lang w:val="en-US" w:eastAsia="zh-CN"/>
              </w:rPr>
              <w:t>2.</w:t>
            </w:r>
            <w:r>
              <w:rPr>
                <w:rFonts w:hint="default" w:ascii="宋体-方正超大字符集" w:hAnsi="宋体-方正超大字符集" w:eastAsia="宋体-方正超大字符集" w:cs="宋体-方正超大字符集"/>
                <w:color w:val="auto"/>
                <w:sz w:val="28"/>
                <w:szCs w:val="28"/>
                <w:vertAlign w:val="baseline"/>
                <w:lang w:val="en-US" w:eastAsia="zh-CN"/>
              </w:rPr>
              <w:t>类似业绩（</w: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color w:val="auto"/>
                <w:sz w:val="28"/>
                <w:szCs w:val="28"/>
                <w:vertAlign w:val="baseline"/>
                <w:lang w:val="en-US" w:eastAsia="zh-CN"/>
              </w:rPr>
              <w:t>10</w:t>
            </w:r>
            <w:r>
              <w:rPr>
                <w:rFonts w:hint="default" w:ascii="宋体-方正超大字符集" w:hAnsi="宋体-方正超大字符集" w:eastAsia="宋体-方正超大字符集" w:cs="宋体-方正超大字符集"/>
                <w:color w:val="auto"/>
                <w:sz w:val="28"/>
                <w:szCs w:val="28"/>
                <w:vertAlign w:val="baseline"/>
                <w:lang w:val="en-US" w:eastAsia="zh-CN"/>
              </w:rPr>
              <w:t>分）</w:t>
            </w:r>
            <w:r>
              <w:rPr>
                <w:rFonts w:hint="default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  <w:lang w:val="en-US" w:eastAsia="zh-CN"/>
              </w:rPr>
              <w:t>：2023年1月1日至今，</w: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  <w:lang w:val="en-US" w:eastAsia="zh-CN"/>
              </w:rPr>
              <w:t>参与</w:t>
            </w:r>
            <w:r>
              <w:rPr>
                <w:rFonts w:hint="default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  <w:lang w:val="en-US" w:eastAsia="zh-CN"/>
              </w:rPr>
              <w:t>过</w: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  <w:lang w:val="en-US" w:eastAsia="zh-CN"/>
              </w:rPr>
              <w:t>医院类</w:t>
            </w:r>
            <w:r>
              <w:rPr>
                <w:rFonts w:hint="default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  <w:lang w:val="en-US" w:eastAsia="zh-CN"/>
              </w:rPr>
              <w:t>门户网站建设或运维服务项目，每提供一项有效业绩得</w: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  <w:lang w:val="en-US" w:eastAsia="zh-CN"/>
              </w:rPr>
              <w:t>2</w:t>
            </w:r>
            <w:r>
              <w:rPr>
                <w:rFonts w:hint="default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  <w:lang w:val="en-US" w:eastAsia="zh-CN"/>
              </w:rPr>
              <w:t>分，最高</w: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  <w:lang w:val="en-US" w:eastAsia="zh-CN"/>
              </w:rPr>
              <w:t>10</w:t>
            </w:r>
            <w:r>
              <w:rPr>
                <w:rFonts w:hint="default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  <w:lang w:val="en-US" w:eastAsia="zh-CN"/>
              </w:rPr>
              <w:t>分（须提供合同复印件或中标通知书）</w: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  <w:lang w:val="en-US" w:eastAsia="zh-CN"/>
              </w:rPr>
              <w:t>；</w:t>
            </w:r>
          </w:p>
          <w:p w14:paraId="4E3C3874">
            <w:pPr>
              <w:jc w:val="left"/>
              <w:rPr>
                <w:rFonts w:hint="eastAsia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  <w:lang w:val="en-US" w:eastAsia="zh-CN"/>
              </w:rPr>
              <w:t>3.</w:t>
            </w:r>
            <w:r>
              <w:rPr>
                <w:rFonts w:hint="default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  <w:lang w:val="en-US" w:eastAsia="zh-CN"/>
              </w:rPr>
              <w:t>售后服务保障（5分）：提供售后服务方案，故障远程响应≤2小时，一般故障4小时远程处置；重大故障按需现场到场，提供承诺函得满分。</w:t>
            </w:r>
          </w:p>
        </w:tc>
        <w:tc>
          <w:tcPr>
            <w:tcW w:w="1200" w:type="dxa"/>
            <w:vAlign w:val="center"/>
          </w:tcPr>
          <w:p w14:paraId="008156E6">
            <w:pPr>
              <w:jc w:val="center"/>
              <w:rPr>
                <w:rFonts w:hint="eastAsia" w:ascii="宋体-方正超大字符集" w:hAnsi="宋体-方正超大字符集" w:eastAsia="宋体-方正超大字符集" w:cs="宋体-方正超大字符集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-方正超大字符集" w:hAnsi="宋体-方正超大字符集" w:eastAsia="宋体-方正超大字符集" w:cs="宋体-方正超大字符集"/>
                <w:sz w:val="32"/>
                <w:szCs w:val="32"/>
                <w:vertAlign w:val="baseline"/>
                <w:lang w:val="en-US" w:eastAsia="zh-CN"/>
              </w:rPr>
              <w:t>20分</w:t>
            </w:r>
          </w:p>
        </w:tc>
      </w:tr>
      <w:tr w14:paraId="1BF8B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4" w:type="dxa"/>
            <w:vAlign w:val="center"/>
          </w:tcPr>
          <w:p w14:paraId="77663C11">
            <w:pPr>
              <w:jc w:val="center"/>
              <w:rPr>
                <w:rFonts w:hint="eastAsia" w:ascii="宋体-方正超大字符集" w:hAnsi="宋体-方正超大字符集" w:eastAsia="宋体-方正超大字符集" w:cs="宋体-方正超大字符集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-方正超大字符集" w:hAnsi="宋体-方正超大字符集" w:eastAsia="宋体-方正超大字符集" w:cs="宋体-方正超大字符集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281" w:type="dxa"/>
            <w:vAlign w:val="center"/>
          </w:tcPr>
          <w:p w14:paraId="640EDD6C">
            <w:pPr>
              <w:jc w:val="center"/>
              <w:rPr>
                <w:rFonts w:hint="default" w:ascii="宋体-方正超大字符集" w:hAnsi="宋体-方正超大字符集" w:eastAsia="宋体-方正超大字符集" w:cs="宋体-方正超大字符集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-方正超大字符集" w:hAnsi="宋体-方正超大字符集" w:eastAsia="宋体-方正超大字符集" w:cs="宋体-方正超大字符集"/>
                <w:sz w:val="32"/>
                <w:szCs w:val="32"/>
                <w:vertAlign w:val="baseline"/>
                <w:lang w:val="en-US" w:eastAsia="zh-CN"/>
              </w:rPr>
              <w:t>项目实施方案40%</w:t>
            </w:r>
          </w:p>
        </w:tc>
        <w:tc>
          <w:tcPr>
            <w:tcW w:w="10534" w:type="dxa"/>
          </w:tcPr>
          <w:p w14:paraId="76611F57">
            <w:pPr>
              <w:jc w:val="left"/>
              <w:rPr>
                <w:rFonts w:hint="eastAsia" w:ascii="宋体-方正超大字符集" w:hAnsi="宋体-方正超大字符集" w:eastAsia="宋体-方正超大字符集" w:cs="宋体-方正超大字符集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-方正超大字符集" w:hAnsi="宋体-方正超大字符集" w:eastAsia="宋体-方正超大字符集" w:cs="宋体-方正超大字符集"/>
                <w:color w:val="auto"/>
                <w:sz w:val="28"/>
                <w:szCs w:val="28"/>
                <w:vertAlign w:val="baseline"/>
                <w:lang w:val="en-US" w:eastAsia="zh-CN"/>
              </w:rPr>
              <w:t>1.根据供应商提供的总体方案进行综合评审，内容包括但不限于：①项目实施进度、②计划、③人员组织、④项目保障措施计划、⑤项目验收方案等；上述方案完全满足要求的得20分，每有一项缺项的扣4分；每有一处内容存在缺陷的扣2分，扣完为止，未提供不得分。</w:t>
            </w:r>
          </w:p>
          <w:p w14:paraId="61B30F4B">
            <w:pPr>
              <w:jc w:val="left"/>
              <w:rPr>
                <w:rFonts w:hint="eastAsia" w:ascii="宋体-方正超大字符集" w:hAnsi="宋体-方正超大字符集" w:eastAsia="宋体-方正超大字符集" w:cs="宋体-方正超大字符集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-方正超大字符集" w:hAnsi="宋体-方正超大字符集" w:eastAsia="宋体-方正超大字符集" w:cs="宋体-方正超大字符集"/>
                <w:color w:val="auto"/>
                <w:sz w:val="28"/>
                <w:szCs w:val="28"/>
                <w:vertAlign w:val="baseline"/>
                <w:lang w:val="en-US" w:eastAsia="zh-CN"/>
              </w:rPr>
              <w:t>2.根据投标人提供的售后服务方案进行综合评审，内容包括但不限于：①售后服务范围、②售后服务人员配备及职责分工；③定期回访及维护升级计划；④售后服务质量保障体系。上述方案完全满足要求的得10分，每有一项缺项的扣2.5分；每有一处内容存在缺陷的扣1.5分，扣完为止，未提供不得分。</w:t>
            </w:r>
          </w:p>
          <w:p w14:paraId="4817AA31">
            <w:pPr>
              <w:jc w:val="left"/>
              <w:rPr>
                <w:rFonts w:hint="eastAsia" w:ascii="宋体-方正超大字符集" w:hAnsi="宋体-方正超大字符集" w:eastAsia="宋体-方正超大字符集" w:cs="宋体-方正超大字符集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-方正超大字符集" w:hAnsi="宋体-方正超大字符集" w:eastAsia="宋体-方正超大字符集" w:cs="宋体-方正超大字符集"/>
                <w:color w:val="auto"/>
                <w:sz w:val="28"/>
                <w:szCs w:val="28"/>
                <w:vertAlign w:val="baseline"/>
                <w:lang w:val="en-US" w:eastAsia="zh-CN"/>
              </w:rPr>
              <w:t>3.根据投标人提供的培训方案进行综合评审，内容包括但不限于：①培训对象及计划安排、②培训内容、③培训目标、④培训效果及保证措施等；上述方案完全满足要求的得10分，每有一项缺项的扣2.5分；每有一处内容存在缺陷的扣1.5分，扣完为止，未提供不得分。</w:t>
            </w:r>
          </w:p>
          <w:p w14:paraId="48A66257">
            <w:pPr>
              <w:jc w:val="left"/>
              <w:rPr>
                <w:rFonts w:hint="default" w:ascii="宋体-方正超大字符集" w:hAnsi="宋体-方正超大字符集" w:eastAsia="宋体-方正超大字符集" w:cs="宋体-方正超大字符集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-方正超大字符集" w:hAnsi="宋体-方正超大字符集" w:eastAsia="宋体-方正超大字符集" w:cs="宋体-方正超大字符集"/>
                <w:color w:val="auto"/>
                <w:sz w:val="28"/>
                <w:szCs w:val="28"/>
                <w:vertAlign w:val="baseline"/>
                <w:lang w:val="en-US" w:eastAsia="zh-CN"/>
              </w:rPr>
              <w:t>注：1.完全满足以上要求是指：方案不缺项且内容与项目服务需求无偏离，有具体详细的阐述；满足项目需求并提出专业技术建议或者解决方案。2.缺陷是指：未按细化指标要求阐述（指方案内容无法判别对应细化指标的实施方法、过程和举措）；不符合项目相关的功能、数据指标、规范及标准（指方案内容相关功能、数据指标不符合项目需求；国家、行业等技术规范、标准错误或不符合现行要求）；内容与本项目需求无关。</w:t>
            </w:r>
          </w:p>
        </w:tc>
        <w:tc>
          <w:tcPr>
            <w:tcW w:w="1200" w:type="dxa"/>
            <w:vAlign w:val="center"/>
          </w:tcPr>
          <w:p w14:paraId="50803AF4">
            <w:pPr>
              <w:jc w:val="center"/>
              <w:rPr>
                <w:rFonts w:hint="default" w:ascii="宋体-方正超大字符集" w:hAnsi="宋体-方正超大字符集" w:eastAsia="宋体-方正超大字符集" w:cs="宋体-方正超大字符集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-方正超大字符集" w:hAnsi="宋体-方正超大字符集" w:eastAsia="宋体-方正超大字符集" w:cs="宋体-方正超大字符集"/>
                <w:sz w:val="32"/>
                <w:szCs w:val="32"/>
                <w:vertAlign w:val="baseline"/>
                <w:lang w:val="en-US" w:eastAsia="zh-CN"/>
              </w:rPr>
              <w:t>40分</w:t>
            </w:r>
          </w:p>
        </w:tc>
      </w:tr>
    </w:tbl>
    <w:p w14:paraId="46313F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eastAsia" w:ascii="宋体-方正超大字符集" w:hAnsi="宋体-方正超大字符集" w:eastAsia="宋体-方正超大字符集" w:cs="宋体-方正超大字符集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宋体-方正超大字符集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1" w:fontKey="{1AAACFA4-7E1B-48D1-AE97-AFBC613430E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F33B5B54-FE6D-4A41-80FF-87F8651313B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262315"/>
    <w:rsid w:val="46D80251"/>
    <w:rsid w:val="4A6A1039"/>
    <w:rsid w:val="7AFA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character" w:default="1" w:styleId="6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四川分公司</Company>
  <Pages>3</Pages>
  <Words>1049</Words>
  <Characters>1092</Characters>
  <Paragraphs>37</Paragraphs>
  <TotalTime>1</TotalTime>
  <ScaleCrop>false</ScaleCrop>
  <LinksUpToDate>false</LinksUpToDate>
  <CharactersWithSpaces>1092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2026-08-27T08:30:00Z</dcterms:created>
  <dc:creator>Administrator</dc:creator>
  <cp:lastModifiedBy>Administrator</cp:lastModifiedBy>
  <dcterms:modified xsi:type="dcterms:W3CDTF">2026-09-01T01:39:32Z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6F80C0F00DC8473DB3F20EF6DAB64B5E_13</vt:lpwstr>
  </property>
  <property fmtid="{D5CDD505-2E9C-101B-9397-08002B2CF9AE}" pid="4" name="KSOTemplateDocerSaveRecord">
    <vt:lpwstr>eyJoZGlkIjoiOTdhOTE2YTBmOWVjODZjZmYyN2FhZjI5NjFiYWIyNTIiLCJ1c2VySWQiOiIxNTA2MzQ1NDgzIn0=</vt:lpwstr>
  </property>
</Properties>
</file>