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843D7D">
      <w:pPr>
        <w:pStyle w:val="3"/>
        <w:rPr>
          <w:rFonts w:hint="eastAsia" w:ascii="方正仿宋简体" w:hAnsi="方正仿宋简体" w:eastAsia="方正仿宋简体" w:cs="方正仿宋简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color w:val="000000"/>
          <w:sz w:val="28"/>
          <w:szCs w:val="28"/>
        </w:rPr>
        <w:t>附件</w:t>
      </w:r>
      <w:r>
        <w:rPr>
          <w:rFonts w:hint="eastAsia" w:ascii="方正仿宋简体" w:hAnsi="方正仿宋简体" w:eastAsia="方正仿宋简体" w:cs="方正仿宋简体"/>
          <w:b w:val="0"/>
          <w:bCs w:val="0"/>
          <w:color w:val="000000"/>
          <w:sz w:val="28"/>
          <w:szCs w:val="28"/>
          <w:lang w:val="en-US" w:eastAsia="zh-CN"/>
        </w:rPr>
        <w:t>1</w:t>
      </w:r>
      <w:r>
        <w:rPr>
          <w:rFonts w:hint="eastAsia" w:ascii="方正仿宋简体" w:hAnsi="方正仿宋简体" w:eastAsia="方正仿宋简体" w:cs="方正仿宋简体"/>
          <w:b w:val="0"/>
          <w:bCs w:val="0"/>
          <w:color w:val="000000"/>
          <w:sz w:val="28"/>
          <w:szCs w:val="28"/>
          <w:lang w:eastAsia="zh-CN"/>
        </w:rPr>
        <w:t>：</w:t>
      </w:r>
      <w:r>
        <w:rPr>
          <w:rFonts w:hint="eastAsia" w:ascii="方正仿宋简体" w:hAnsi="方正仿宋简体" w:eastAsia="方正仿宋简体" w:cs="方正仿宋简体"/>
          <w:b w:val="0"/>
          <w:bCs w:val="0"/>
          <w:color w:val="000000"/>
          <w:sz w:val="32"/>
          <w:szCs w:val="32"/>
          <w:lang w:val="en-US" w:eastAsia="zh-CN"/>
        </w:rPr>
        <w:t>评分细则</w:t>
      </w:r>
    </w:p>
    <w:tbl>
      <w:tblPr>
        <w:tblStyle w:val="5"/>
        <w:tblW w:w="9819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2"/>
        <w:gridCol w:w="1073"/>
        <w:gridCol w:w="843"/>
        <w:gridCol w:w="6304"/>
        <w:gridCol w:w="987"/>
      </w:tblGrid>
      <w:tr w14:paraId="3A9E6FB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  <w:jc w:val="center"/>
        </w:trPr>
        <w:tc>
          <w:tcPr>
            <w:tcW w:w="612" w:type="dxa"/>
            <w:shd w:val="clear" w:color="auto" w:fill="FFFFFF"/>
            <w:noWrap w:val="0"/>
            <w:vAlign w:val="center"/>
          </w:tcPr>
          <w:p w14:paraId="0AB847E1">
            <w:pPr>
              <w:autoSpaceDE/>
              <w:autoSpaceDN/>
              <w:snapToGrid w:val="0"/>
              <w:spacing w:line="400" w:lineRule="atLeast"/>
              <w:jc w:val="center"/>
              <w:rPr>
                <w:rFonts w:hint="eastAsia" w:ascii="仿宋" w:hAnsi="仿宋" w:eastAsia="仿宋" w:cs="仿宋"/>
                <w:b/>
                <w:bCs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4"/>
              </w:rPr>
              <w:t>序号</w:t>
            </w:r>
          </w:p>
        </w:tc>
        <w:tc>
          <w:tcPr>
            <w:tcW w:w="1073" w:type="dxa"/>
            <w:shd w:val="clear" w:color="auto" w:fill="FFFFFF"/>
            <w:noWrap w:val="0"/>
            <w:vAlign w:val="center"/>
          </w:tcPr>
          <w:p w14:paraId="38F23ACB">
            <w:pPr>
              <w:autoSpaceDE/>
              <w:autoSpaceDN/>
              <w:snapToGrid w:val="0"/>
              <w:spacing w:line="400" w:lineRule="atLeast"/>
              <w:jc w:val="center"/>
              <w:rPr>
                <w:rFonts w:hint="eastAsia" w:ascii="仿宋" w:hAnsi="仿宋" w:eastAsia="仿宋" w:cs="仿宋"/>
                <w:b/>
                <w:bCs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4"/>
              </w:rPr>
              <w:t>评分因素及权值</w:t>
            </w:r>
          </w:p>
        </w:tc>
        <w:tc>
          <w:tcPr>
            <w:tcW w:w="843" w:type="dxa"/>
            <w:shd w:val="clear" w:color="auto" w:fill="FFFFFF"/>
            <w:noWrap w:val="0"/>
            <w:vAlign w:val="center"/>
          </w:tcPr>
          <w:p w14:paraId="0DBAA540">
            <w:pPr>
              <w:autoSpaceDE/>
              <w:autoSpaceDN/>
              <w:snapToGrid w:val="0"/>
              <w:spacing w:line="400" w:lineRule="atLeast"/>
              <w:jc w:val="center"/>
              <w:rPr>
                <w:rFonts w:hint="eastAsia" w:ascii="仿宋" w:hAnsi="仿宋" w:eastAsia="仿宋" w:cs="仿宋"/>
                <w:b/>
                <w:bCs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4"/>
              </w:rPr>
              <w:t>分值</w:t>
            </w:r>
          </w:p>
        </w:tc>
        <w:tc>
          <w:tcPr>
            <w:tcW w:w="6304" w:type="dxa"/>
            <w:shd w:val="clear" w:color="auto" w:fill="FFFFFF"/>
            <w:noWrap w:val="0"/>
            <w:vAlign w:val="center"/>
          </w:tcPr>
          <w:p w14:paraId="24945EA7">
            <w:pPr>
              <w:autoSpaceDE/>
              <w:autoSpaceDN/>
              <w:snapToGrid w:val="0"/>
              <w:spacing w:line="400" w:lineRule="atLeast"/>
              <w:jc w:val="center"/>
              <w:rPr>
                <w:rFonts w:hint="eastAsia" w:ascii="仿宋" w:hAnsi="仿宋" w:eastAsia="仿宋" w:cs="仿宋"/>
                <w:b/>
                <w:bCs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4"/>
              </w:rPr>
              <w:t>评分标准</w:t>
            </w:r>
          </w:p>
        </w:tc>
        <w:tc>
          <w:tcPr>
            <w:tcW w:w="987" w:type="dxa"/>
            <w:shd w:val="clear" w:color="auto" w:fill="FFFFFF"/>
            <w:noWrap w:val="0"/>
            <w:vAlign w:val="center"/>
          </w:tcPr>
          <w:p w14:paraId="1C48FB13">
            <w:pPr>
              <w:autoSpaceDE/>
              <w:autoSpaceDN/>
              <w:snapToGrid w:val="0"/>
              <w:spacing w:line="400" w:lineRule="atLeast"/>
              <w:jc w:val="center"/>
              <w:rPr>
                <w:rFonts w:hint="eastAsia" w:ascii="仿宋" w:hAnsi="仿宋" w:eastAsia="仿宋" w:cs="仿宋"/>
                <w:b/>
                <w:bCs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4"/>
              </w:rPr>
              <w:t>备注</w:t>
            </w:r>
          </w:p>
        </w:tc>
      </w:tr>
      <w:tr w14:paraId="34F45F2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  <w:jc w:val="center"/>
        </w:trPr>
        <w:tc>
          <w:tcPr>
            <w:tcW w:w="612" w:type="dxa"/>
            <w:shd w:val="clear" w:color="auto" w:fill="FFFFFF"/>
            <w:noWrap w:val="0"/>
            <w:vAlign w:val="center"/>
          </w:tcPr>
          <w:p w14:paraId="6B5B089C">
            <w:pPr>
              <w:autoSpaceDE/>
              <w:autoSpaceDN/>
              <w:snapToGrid w:val="0"/>
              <w:spacing w:line="400" w:lineRule="atLeast"/>
              <w:jc w:val="center"/>
              <w:rPr>
                <w:rFonts w:hint="eastAsia" w:ascii="仿宋" w:hAnsi="仿宋" w:eastAsia="仿宋" w:cs="仿宋"/>
                <w:b/>
                <w:bCs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4"/>
              </w:rPr>
              <w:t>1</w:t>
            </w:r>
          </w:p>
        </w:tc>
        <w:tc>
          <w:tcPr>
            <w:tcW w:w="1073" w:type="dxa"/>
            <w:shd w:val="clear" w:color="auto" w:fill="FFFFFF"/>
            <w:noWrap w:val="0"/>
            <w:vAlign w:val="center"/>
          </w:tcPr>
          <w:p w14:paraId="1A6D28DC">
            <w:pPr>
              <w:pStyle w:val="7"/>
              <w:tabs>
                <w:tab w:val="left" w:pos="318"/>
              </w:tabs>
              <w:spacing w:before="41" w:line="360" w:lineRule="auto"/>
              <w:ind w:right="94"/>
              <w:jc w:val="center"/>
              <w:rPr>
                <w:rFonts w:ascii="仿宋" w:hAnsi="仿宋" w:eastAsia="仿宋" w:cs="仿宋"/>
                <w:spacing w:val="-3"/>
                <w:lang w:val="en-US"/>
              </w:rPr>
            </w:pPr>
          </w:p>
          <w:p w14:paraId="4480EDA1">
            <w:pPr>
              <w:pStyle w:val="7"/>
              <w:tabs>
                <w:tab w:val="left" w:pos="318"/>
              </w:tabs>
              <w:spacing w:before="41" w:line="360" w:lineRule="auto"/>
              <w:ind w:right="94"/>
              <w:jc w:val="center"/>
              <w:rPr>
                <w:rFonts w:hint="eastAsia" w:ascii="仿宋" w:hAnsi="仿宋" w:eastAsia="仿宋" w:cs="仿宋"/>
                <w:spacing w:val="-3"/>
                <w:lang w:val="en-US"/>
              </w:rPr>
            </w:pPr>
            <w:r>
              <w:rPr>
                <w:rFonts w:hint="eastAsia" w:ascii="仿宋" w:hAnsi="仿宋" w:eastAsia="仿宋" w:cs="仿宋"/>
                <w:spacing w:val="-3"/>
                <w:lang w:val="en-US"/>
              </w:rPr>
              <w:t>报价</w:t>
            </w:r>
          </w:p>
          <w:p w14:paraId="1D4DFEC0">
            <w:pPr>
              <w:pStyle w:val="7"/>
              <w:tabs>
                <w:tab w:val="left" w:pos="318"/>
              </w:tabs>
              <w:spacing w:before="41" w:line="360" w:lineRule="auto"/>
              <w:ind w:right="94"/>
              <w:jc w:val="center"/>
              <w:rPr>
                <w:rFonts w:ascii="仿宋" w:hAnsi="仿宋" w:eastAsia="仿宋" w:cs="仿宋"/>
                <w:spacing w:val="-3"/>
              </w:rPr>
            </w:pPr>
            <w:r>
              <w:rPr>
                <w:rFonts w:hint="eastAsia" w:ascii="仿宋" w:hAnsi="仿宋" w:eastAsia="仿宋" w:cs="仿宋"/>
                <w:spacing w:val="-3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pacing w:val="-3"/>
                <w:lang w:val="en-US"/>
              </w:rPr>
              <w:t xml:space="preserve">0% </w:t>
            </w:r>
          </w:p>
          <w:p w14:paraId="26695DB5">
            <w:pPr>
              <w:pStyle w:val="7"/>
              <w:tabs>
                <w:tab w:val="left" w:pos="318"/>
              </w:tabs>
              <w:spacing w:before="41" w:line="360" w:lineRule="auto"/>
              <w:ind w:right="94"/>
              <w:jc w:val="center"/>
              <w:rPr>
                <w:rFonts w:hint="eastAsia" w:ascii="仿宋" w:hAnsi="仿宋" w:eastAsia="仿宋" w:cs="仿宋"/>
                <w:b/>
                <w:bCs/>
                <w:szCs w:val="24"/>
              </w:rPr>
            </w:pPr>
          </w:p>
        </w:tc>
        <w:tc>
          <w:tcPr>
            <w:tcW w:w="843" w:type="dxa"/>
            <w:shd w:val="clear" w:color="auto" w:fill="FFFFFF"/>
            <w:noWrap w:val="0"/>
            <w:vAlign w:val="center"/>
          </w:tcPr>
          <w:p w14:paraId="23BB6012">
            <w:pPr>
              <w:pStyle w:val="7"/>
              <w:tabs>
                <w:tab w:val="left" w:pos="318"/>
              </w:tabs>
              <w:spacing w:before="41" w:line="360" w:lineRule="auto"/>
              <w:ind w:right="94"/>
              <w:jc w:val="center"/>
              <w:rPr>
                <w:rFonts w:hint="eastAsia" w:ascii="仿宋" w:hAnsi="仿宋" w:eastAsia="仿宋" w:cs="仿宋"/>
                <w:b/>
                <w:bCs/>
                <w:szCs w:val="24"/>
              </w:rPr>
            </w:pPr>
            <w:r>
              <w:rPr>
                <w:rFonts w:hint="eastAsia" w:ascii="仿宋" w:hAnsi="仿宋" w:eastAsia="仿宋" w:cs="仿宋"/>
                <w:spacing w:val="-3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pacing w:val="-3"/>
                <w:lang w:val="en-US"/>
              </w:rPr>
              <w:t>0</w:t>
            </w:r>
            <w:r>
              <w:rPr>
                <w:rFonts w:hint="eastAsia" w:ascii="仿宋" w:hAnsi="仿宋" w:eastAsia="仿宋" w:cs="仿宋"/>
                <w:spacing w:val="-3"/>
              </w:rPr>
              <w:t>分</w:t>
            </w:r>
          </w:p>
        </w:tc>
        <w:tc>
          <w:tcPr>
            <w:tcW w:w="6304" w:type="dxa"/>
            <w:shd w:val="clear" w:color="auto" w:fill="FFFFFF"/>
            <w:noWrap w:val="0"/>
            <w:vAlign w:val="top"/>
          </w:tcPr>
          <w:p w14:paraId="196001AD">
            <w:pPr>
              <w:pStyle w:val="7"/>
              <w:tabs>
                <w:tab w:val="left" w:pos="318"/>
              </w:tabs>
              <w:spacing w:before="41" w:line="360" w:lineRule="auto"/>
              <w:ind w:right="94"/>
              <w:rPr>
                <w:rFonts w:hint="eastAsia" w:ascii="仿宋" w:hAnsi="仿宋" w:eastAsia="仿宋" w:cs="仿宋"/>
                <w:color w:val="auto"/>
                <w:spacing w:val="-3"/>
                <w:lang w:val="en-US"/>
              </w:rPr>
            </w:pPr>
            <w:r>
              <w:rPr>
                <w:rFonts w:hint="eastAsia" w:ascii="仿宋" w:hAnsi="仿宋" w:eastAsia="仿宋" w:cs="仿宋"/>
                <w:spacing w:val="-3"/>
                <w:kern w:val="2"/>
                <w:szCs w:val="24"/>
                <w:lang w:val="en-US"/>
              </w:rPr>
              <w:t>1.</w:t>
            </w:r>
            <w:r>
              <w:rPr>
                <w:rFonts w:hint="eastAsia" w:ascii="仿宋" w:hAnsi="仿宋" w:eastAsia="仿宋" w:cs="仿宋"/>
                <w:color w:val="auto"/>
                <w:spacing w:val="-3"/>
                <w:lang w:val="en-US"/>
              </w:rPr>
              <w:t>代理政府采购招标项目，代理服务费按《招标代理服务收费管理暂行办法》计价格[2002]1980号文和发改价格[2011]534号文等相关文件收费标准基础上每下浮</w:t>
            </w:r>
            <w:r>
              <w:rPr>
                <w:rFonts w:hint="eastAsia" w:ascii="仿宋" w:hAnsi="仿宋" w:eastAsia="仿宋" w:cs="仿宋"/>
                <w:color w:val="auto"/>
                <w:spacing w:val="-3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auto"/>
                <w:spacing w:val="-3"/>
                <w:lang w:val="en-US"/>
              </w:rPr>
              <w:t>%得</w:t>
            </w:r>
            <w:r>
              <w:rPr>
                <w:rFonts w:hint="eastAsia" w:ascii="仿宋" w:hAnsi="仿宋" w:eastAsia="仿宋" w:cs="仿宋"/>
                <w:color w:val="auto"/>
                <w:spacing w:val="-3"/>
                <w:lang w:val="en-US" w:eastAsia="zh-CN"/>
              </w:rPr>
              <w:t>0.5</w:t>
            </w:r>
            <w:r>
              <w:rPr>
                <w:rFonts w:hint="eastAsia" w:ascii="仿宋" w:hAnsi="仿宋" w:eastAsia="仿宋" w:cs="仿宋"/>
                <w:color w:val="auto"/>
                <w:spacing w:val="-3"/>
                <w:lang w:val="en-US"/>
              </w:rPr>
              <w:t>分（最多得</w:t>
            </w:r>
            <w:r>
              <w:rPr>
                <w:rFonts w:hint="eastAsia" w:ascii="仿宋" w:hAnsi="仿宋" w:eastAsia="仿宋" w:cs="仿宋"/>
                <w:color w:val="auto"/>
                <w:spacing w:val="-3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auto"/>
                <w:spacing w:val="-3"/>
                <w:lang w:val="en-US"/>
              </w:rPr>
              <w:t>分）；</w:t>
            </w:r>
          </w:p>
          <w:p w14:paraId="206C0BA4">
            <w:pPr>
              <w:pStyle w:val="7"/>
              <w:tabs>
                <w:tab w:val="left" w:pos="318"/>
              </w:tabs>
              <w:spacing w:before="41" w:line="360" w:lineRule="auto"/>
              <w:ind w:right="94"/>
              <w:rPr>
                <w:rFonts w:hint="eastAsia" w:ascii="仿宋" w:hAnsi="仿宋" w:eastAsia="仿宋" w:cs="仿宋"/>
                <w:color w:val="auto"/>
                <w:spacing w:val="-3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spacing w:val="-3"/>
                <w:lang w:val="en-US"/>
              </w:rPr>
              <w:t>2.代理经院部批准同意的院内自</w:t>
            </w:r>
            <w:r>
              <w:rPr>
                <w:rFonts w:hint="eastAsia" w:ascii="仿宋" w:hAnsi="仿宋" w:eastAsia="仿宋" w:cs="仿宋"/>
                <w:color w:val="auto"/>
                <w:spacing w:val="-3"/>
                <w:lang w:val="en-US" w:eastAsia="zh-CN"/>
              </w:rPr>
              <w:t>主</w:t>
            </w:r>
            <w:r>
              <w:rPr>
                <w:rFonts w:hint="eastAsia" w:ascii="仿宋" w:hAnsi="仿宋" w:eastAsia="仿宋" w:cs="仿宋"/>
                <w:color w:val="auto"/>
                <w:spacing w:val="-3"/>
                <w:lang w:val="en-US"/>
              </w:rPr>
              <w:t>采购项目，代理服务费</w:t>
            </w:r>
            <w:r>
              <w:rPr>
                <w:rFonts w:hint="eastAsia" w:ascii="仿宋" w:hAnsi="仿宋" w:eastAsia="仿宋" w:cs="仿宋"/>
                <w:color w:val="auto"/>
                <w:spacing w:val="-3"/>
                <w:lang w:val="en-US" w:eastAsia="zh-CN"/>
              </w:rPr>
              <w:t>以5</w:t>
            </w:r>
            <w:r>
              <w:rPr>
                <w:rFonts w:hint="eastAsia" w:ascii="仿宋" w:hAnsi="仿宋" w:eastAsia="仿宋" w:cs="仿宋"/>
                <w:color w:val="auto"/>
                <w:spacing w:val="-3"/>
                <w:lang w:val="en-US"/>
              </w:rPr>
              <w:t>000元</w:t>
            </w:r>
            <w:r>
              <w:rPr>
                <w:rFonts w:hint="eastAsia" w:ascii="仿宋" w:hAnsi="仿宋" w:eastAsia="仿宋" w:cs="仿宋"/>
                <w:color w:val="auto"/>
                <w:spacing w:val="-3"/>
                <w:lang w:val="en-US" w:eastAsia="zh-CN"/>
              </w:rPr>
              <w:t>为基准价</w:t>
            </w:r>
            <w:r>
              <w:rPr>
                <w:rFonts w:hint="eastAsia" w:ascii="仿宋" w:hAnsi="仿宋" w:eastAsia="仿宋" w:cs="仿宋"/>
                <w:color w:val="auto"/>
                <w:spacing w:val="-3"/>
                <w:lang w:val="en-US"/>
              </w:rPr>
              <w:t>，在此基础上每下浮</w:t>
            </w:r>
            <w:r>
              <w:rPr>
                <w:rFonts w:hint="eastAsia" w:ascii="仿宋" w:hAnsi="仿宋" w:eastAsia="仿宋" w:cs="仿宋"/>
                <w:color w:val="auto"/>
                <w:spacing w:val="-3"/>
                <w:lang w:val="en-US" w:eastAsia="zh-CN"/>
              </w:rPr>
              <w:t>5%</w:t>
            </w:r>
            <w:r>
              <w:rPr>
                <w:rFonts w:hint="eastAsia" w:ascii="仿宋" w:hAnsi="仿宋" w:eastAsia="仿宋" w:cs="仿宋"/>
                <w:color w:val="auto"/>
                <w:spacing w:val="-3"/>
                <w:lang w:val="en-US"/>
              </w:rPr>
              <w:t>，</w:t>
            </w:r>
            <w:r>
              <w:rPr>
                <w:rFonts w:hint="eastAsia" w:ascii="仿宋" w:hAnsi="仿宋" w:eastAsia="仿宋" w:cs="仿宋"/>
                <w:color w:val="auto"/>
                <w:spacing w:val="-3"/>
                <w:lang w:val="en-US" w:eastAsia="zh-CN"/>
              </w:rPr>
              <w:t>得0.5</w:t>
            </w:r>
            <w:r>
              <w:rPr>
                <w:rFonts w:hint="eastAsia" w:ascii="仿宋" w:hAnsi="仿宋" w:eastAsia="仿宋" w:cs="仿宋"/>
                <w:color w:val="auto"/>
                <w:spacing w:val="-3"/>
                <w:lang w:val="en-US"/>
              </w:rPr>
              <w:t>分（最多</w:t>
            </w:r>
            <w:r>
              <w:rPr>
                <w:rFonts w:hint="eastAsia" w:ascii="仿宋" w:hAnsi="仿宋" w:eastAsia="仿宋" w:cs="仿宋"/>
                <w:color w:val="auto"/>
                <w:spacing w:val="-3"/>
                <w:lang w:val="en-US" w:eastAsia="zh-CN"/>
              </w:rPr>
              <w:t>得5</w:t>
            </w:r>
            <w:r>
              <w:rPr>
                <w:rFonts w:hint="eastAsia" w:ascii="仿宋" w:hAnsi="仿宋" w:eastAsia="仿宋" w:cs="仿宋"/>
                <w:color w:val="auto"/>
                <w:spacing w:val="-3"/>
                <w:lang w:val="en-US"/>
              </w:rPr>
              <w:t>分）；</w:t>
            </w:r>
          </w:p>
          <w:p w14:paraId="0613E8EF">
            <w:pPr>
              <w:pStyle w:val="7"/>
              <w:tabs>
                <w:tab w:val="left" w:pos="318"/>
              </w:tabs>
              <w:spacing w:before="41" w:line="360" w:lineRule="auto"/>
              <w:ind w:right="94"/>
              <w:rPr>
                <w:rFonts w:hint="eastAsia" w:ascii="仿宋" w:hAnsi="仿宋" w:eastAsia="仿宋" w:cs="仿宋"/>
                <w:b/>
                <w:bCs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3"/>
                <w:lang w:val="en-US"/>
              </w:rPr>
              <w:t>注：①报价高于基准收费标准或高于单项最高得分的，按无效文件处理</w:t>
            </w:r>
            <w:r>
              <w:rPr>
                <w:rFonts w:hint="eastAsia" w:ascii="仿宋" w:hAnsi="仿宋" w:eastAsia="仿宋" w:cs="仿宋"/>
                <w:spacing w:val="-3"/>
                <w:lang w:val="en-US" w:eastAsia="zh-CN"/>
              </w:rPr>
              <w:t>。</w:t>
            </w:r>
          </w:p>
        </w:tc>
        <w:tc>
          <w:tcPr>
            <w:tcW w:w="987" w:type="dxa"/>
            <w:shd w:val="clear" w:color="auto" w:fill="FFFFFF"/>
            <w:noWrap w:val="0"/>
            <w:vAlign w:val="center"/>
          </w:tcPr>
          <w:p w14:paraId="3B12DE46">
            <w:pPr>
              <w:autoSpaceDE/>
              <w:autoSpaceDN/>
              <w:snapToGrid w:val="0"/>
              <w:spacing w:line="400" w:lineRule="atLeast"/>
              <w:jc w:val="center"/>
              <w:rPr>
                <w:rFonts w:hint="eastAsia" w:ascii="仿宋" w:hAnsi="仿宋" w:eastAsia="仿宋" w:cs="仿宋"/>
                <w:b/>
                <w:bCs/>
                <w:szCs w:val="24"/>
              </w:rPr>
            </w:pPr>
          </w:p>
        </w:tc>
      </w:tr>
      <w:tr w14:paraId="18203A9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612" w:type="dxa"/>
            <w:shd w:val="clear" w:color="auto" w:fill="FFFFFF"/>
            <w:noWrap w:val="0"/>
            <w:vAlign w:val="center"/>
          </w:tcPr>
          <w:p w14:paraId="30875C88">
            <w:pPr>
              <w:autoSpaceDE/>
              <w:autoSpaceDN/>
              <w:snapToGrid w:val="0"/>
              <w:spacing w:line="400" w:lineRule="atLeast"/>
              <w:jc w:val="center"/>
              <w:rPr>
                <w:rFonts w:ascii="仿宋" w:hAnsi="仿宋" w:eastAsia="仿宋" w:cs="仿宋"/>
                <w:szCs w:val="24"/>
              </w:rPr>
            </w:pPr>
            <w:r>
              <w:rPr>
                <w:rFonts w:hint="eastAsia" w:ascii="仿宋" w:hAnsi="仿宋" w:eastAsia="仿宋" w:cs="仿宋"/>
                <w:szCs w:val="24"/>
              </w:rPr>
              <w:t>2</w:t>
            </w:r>
          </w:p>
        </w:tc>
        <w:tc>
          <w:tcPr>
            <w:tcW w:w="1073" w:type="dxa"/>
            <w:shd w:val="clear" w:color="auto" w:fill="FFFFFF"/>
            <w:noWrap w:val="0"/>
            <w:vAlign w:val="center"/>
          </w:tcPr>
          <w:p w14:paraId="277217CC">
            <w:pPr>
              <w:pStyle w:val="4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1"/>
                <w:tab w:val="left" w:pos="5041"/>
                <w:tab w:val="left" w:pos="5761"/>
                <w:tab w:val="left" w:pos="6481"/>
                <w:tab w:val="left" w:pos="7201"/>
                <w:tab w:val="left" w:pos="7921"/>
              </w:tabs>
              <w:autoSpaceDE/>
              <w:autoSpaceDN/>
              <w:snapToGrid w:val="0"/>
              <w:spacing w:after="0" w:line="40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组织机构设置、场地及设施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sz w:val="24"/>
              </w:rPr>
              <w:t>%</w:t>
            </w:r>
          </w:p>
        </w:tc>
        <w:tc>
          <w:tcPr>
            <w:tcW w:w="843" w:type="dxa"/>
            <w:shd w:val="clear" w:color="auto" w:fill="FFFFFF"/>
            <w:noWrap w:val="0"/>
            <w:vAlign w:val="center"/>
          </w:tcPr>
          <w:p w14:paraId="412C05A1">
            <w:pPr>
              <w:pStyle w:val="4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1"/>
                <w:tab w:val="left" w:pos="5041"/>
                <w:tab w:val="left" w:pos="5761"/>
                <w:tab w:val="left" w:pos="6481"/>
                <w:tab w:val="left" w:pos="7201"/>
                <w:tab w:val="left" w:pos="7921"/>
              </w:tabs>
              <w:autoSpaceDE/>
              <w:autoSpaceDN/>
              <w:snapToGrid w:val="0"/>
              <w:spacing w:after="0" w:line="40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sz w:val="24"/>
              </w:rPr>
              <w:t>分</w:t>
            </w:r>
          </w:p>
        </w:tc>
        <w:tc>
          <w:tcPr>
            <w:tcW w:w="6304" w:type="dxa"/>
            <w:shd w:val="clear" w:color="auto" w:fill="FFFFFF"/>
            <w:noWrap w:val="0"/>
            <w:vAlign w:val="center"/>
          </w:tcPr>
          <w:p w14:paraId="1FDE88AA">
            <w:pPr>
              <w:autoSpaceDE/>
              <w:autoSpaceDN/>
              <w:snapToGrid w:val="0"/>
              <w:spacing w:line="400" w:lineRule="atLeast"/>
              <w:rPr>
                <w:rFonts w:ascii="仿宋" w:hAnsi="仿宋" w:eastAsia="仿宋" w:cs="仿宋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Cs w:val="24"/>
              </w:rPr>
              <w:t>1.</w:t>
            </w:r>
            <w:r>
              <w:rPr>
                <w:rFonts w:hint="eastAsia" w:ascii="仿宋" w:hAnsi="仿宋" w:eastAsia="仿宋" w:cs="仿宋"/>
                <w:color w:val="auto"/>
                <w:szCs w:val="24"/>
                <w:lang w:eastAsia="zh-CN"/>
              </w:rPr>
              <w:t>参选机构拥有独立</w:t>
            </w:r>
            <w:r>
              <w:rPr>
                <w:rFonts w:hint="eastAsia" w:ascii="仿宋" w:hAnsi="仿宋" w:eastAsia="仿宋" w:cs="仿宋"/>
                <w:color w:val="auto"/>
                <w:szCs w:val="24"/>
              </w:rPr>
              <w:t>办公</w:t>
            </w:r>
            <w:r>
              <w:rPr>
                <w:rFonts w:hint="eastAsia" w:ascii="仿宋" w:hAnsi="仿宋" w:eastAsia="仿宋" w:cs="仿宋"/>
                <w:color w:val="auto"/>
                <w:szCs w:val="24"/>
                <w:lang w:eastAsia="zh-CN"/>
              </w:rPr>
              <w:t>场所，符合政府采购标准的专用开标、评标场地</w:t>
            </w:r>
            <w:r>
              <w:rPr>
                <w:rFonts w:hint="eastAsia" w:ascii="仿宋" w:hAnsi="仿宋" w:eastAsia="仿宋" w:cs="仿宋"/>
                <w:color w:val="auto"/>
                <w:szCs w:val="24"/>
              </w:rPr>
              <w:t>的得</w:t>
            </w:r>
            <w:r>
              <w:rPr>
                <w:rFonts w:hint="eastAsia" w:ascii="仿宋" w:hAnsi="仿宋" w:eastAsia="仿宋" w:cs="仿宋"/>
                <w:color w:val="auto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color w:val="auto"/>
                <w:szCs w:val="24"/>
              </w:rPr>
              <w:t>分。（提供办公评审地址有关证明材料）</w:t>
            </w:r>
          </w:p>
          <w:p w14:paraId="61CE717A">
            <w:pPr>
              <w:autoSpaceDE/>
              <w:autoSpaceDN/>
              <w:snapToGrid w:val="0"/>
              <w:spacing w:line="400" w:lineRule="atLeast"/>
              <w:rPr>
                <w:rFonts w:hint="eastAsia" w:ascii="仿宋" w:hAnsi="仿宋" w:eastAsia="仿宋" w:cs="仿宋"/>
                <w:color w:val="auto"/>
                <w:spacing w:val="-3"/>
                <w:szCs w:val="22"/>
                <w:lang w:bidi="zh-CN"/>
              </w:rPr>
            </w:pPr>
            <w:r>
              <w:rPr>
                <w:rFonts w:hint="eastAsia" w:ascii="仿宋" w:hAnsi="仿宋" w:eastAsia="仿宋" w:cs="仿宋"/>
                <w:spacing w:val="-3"/>
                <w:lang w:bidi="zh-CN"/>
              </w:rPr>
              <w:t>2.</w:t>
            </w:r>
            <w:r>
              <w:rPr>
                <w:rFonts w:hint="eastAsia" w:ascii="仿宋" w:hAnsi="仿宋" w:eastAsia="仿宋" w:cs="仿宋"/>
                <w:color w:val="auto"/>
                <w:spacing w:val="-3"/>
                <w:szCs w:val="22"/>
                <w:lang w:val="en-US" w:eastAsia="zh-CN" w:bidi="zh-CN"/>
              </w:rPr>
              <w:t>代理机构场地面积≥</w:t>
            </w:r>
            <w:r>
              <w:rPr>
                <w:rFonts w:hint="eastAsia" w:ascii="仿宋" w:hAnsi="仿宋" w:eastAsia="仿宋" w:cs="仿宋"/>
                <w:color w:val="auto"/>
                <w:spacing w:val="-3"/>
                <w:lang w:val="en-US" w:bidi="zh-CN"/>
              </w:rPr>
              <w:t>2</w:t>
            </w:r>
            <w:r>
              <w:rPr>
                <w:rFonts w:hint="eastAsia" w:ascii="仿宋" w:hAnsi="仿宋" w:eastAsia="仿宋" w:cs="仿宋"/>
                <w:color w:val="auto"/>
                <w:spacing w:val="-3"/>
                <w:szCs w:val="22"/>
                <w:lang w:val="en-US" w:eastAsia="zh-CN" w:bidi="zh-CN"/>
              </w:rPr>
              <w:t>00平米得3分，200平米＞面积</w:t>
            </w:r>
            <w:r>
              <w:rPr>
                <w:rFonts w:hint="eastAsia" w:ascii="仿宋" w:hAnsi="仿宋" w:eastAsia="仿宋" w:cs="仿宋"/>
                <w:color w:val="auto"/>
                <w:spacing w:val="-3"/>
                <w:lang w:bidi="zh-CN"/>
              </w:rPr>
              <w:t>≥</w:t>
            </w:r>
            <w:r>
              <w:rPr>
                <w:rFonts w:hint="eastAsia" w:ascii="仿宋" w:hAnsi="仿宋" w:eastAsia="仿宋" w:cs="仿宋"/>
                <w:color w:val="auto"/>
                <w:spacing w:val="-3"/>
                <w:lang w:val="en-US" w:bidi="zh-CN"/>
              </w:rPr>
              <w:t>100</w:t>
            </w:r>
            <w:r>
              <w:rPr>
                <w:rFonts w:hint="eastAsia" w:ascii="仿宋" w:hAnsi="仿宋" w:eastAsia="仿宋" w:cs="仿宋"/>
                <w:color w:val="auto"/>
                <w:spacing w:val="-3"/>
                <w:szCs w:val="22"/>
                <w:lang w:val="en-US" w:eastAsia="zh-CN" w:bidi="zh-CN"/>
              </w:rPr>
              <w:t>平米得2分，100平米以下（不含100平米）得1分。</w:t>
            </w:r>
            <w:r>
              <w:rPr>
                <w:rFonts w:hint="eastAsia" w:ascii="仿宋" w:hAnsi="仿宋" w:eastAsia="仿宋" w:cs="仿宋"/>
                <w:color w:val="auto"/>
                <w:szCs w:val="24"/>
              </w:rPr>
              <w:t>（提供租房或购房合同复印件及</w:t>
            </w:r>
            <w:r>
              <w:rPr>
                <w:rFonts w:hint="eastAsia" w:ascii="仿宋" w:hAnsi="仿宋" w:eastAsia="仿宋" w:cs="仿宋"/>
                <w:color w:val="auto"/>
                <w:spacing w:val="-3"/>
                <w:lang w:bidi="zh-CN"/>
              </w:rPr>
              <w:t>场地图片</w:t>
            </w:r>
            <w:r>
              <w:rPr>
                <w:rFonts w:hint="eastAsia" w:ascii="仿宋" w:hAnsi="仿宋" w:eastAsia="仿宋" w:cs="仿宋"/>
                <w:color w:val="auto"/>
                <w:szCs w:val="24"/>
              </w:rPr>
              <w:t>）</w:t>
            </w:r>
          </w:p>
          <w:p w14:paraId="59BE6557">
            <w:pPr>
              <w:autoSpaceDE/>
              <w:autoSpaceDN/>
              <w:snapToGrid w:val="0"/>
              <w:spacing w:line="400" w:lineRule="atLeast"/>
              <w:rPr>
                <w:rFonts w:hint="eastAsia" w:ascii="仿宋" w:hAnsi="仿宋" w:eastAsia="仿宋" w:cs="仿宋"/>
                <w:color w:val="auto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11"/>
                <w:szCs w:val="24"/>
              </w:rPr>
              <w:t>3.参选机构具有独立的评标室（电子评审室）</w:t>
            </w:r>
            <w:r>
              <w:rPr>
                <w:rFonts w:hint="eastAsia" w:ascii="仿宋" w:hAnsi="仿宋" w:eastAsia="仿宋" w:cs="仿宋"/>
                <w:color w:val="auto"/>
                <w:spacing w:val="-3"/>
                <w:lang w:bidi="zh-CN"/>
              </w:rPr>
              <w:t>并具有门禁、录音录像电子监控设备</w:t>
            </w:r>
            <w:r>
              <w:rPr>
                <w:rFonts w:hint="eastAsia" w:ascii="仿宋" w:hAnsi="仿宋" w:eastAsia="仿宋" w:cs="仿宋"/>
                <w:color w:val="auto"/>
                <w:spacing w:val="-11"/>
                <w:szCs w:val="24"/>
              </w:rPr>
              <w:t>的得</w:t>
            </w:r>
            <w:r>
              <w:rPr>
                <w:rFonts w:hint="eastAsia" w:ascii="仿宋" w:hAnsi="仿宋" w:eastAsia="仿宋" w:cs="仿宋"/>
                <w:color w:val="auto"/>
                <w:spacing w:val="-11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color w:val="auto"/>
                <w:spacing w:val="-11"/>
                <w:szCs w:val="24"/>
              </w:rPr>
              <w:t>分；每增</w:t>
            </w:r>
            <w:r>
              <w:rPr>
                <w:rFonts w:hint="eastAsia" w:ascii="仿宋" w:hAnsi="仿宋" w:eastAsia="仿宋" w:cs="仿宋"/>
                <w:color w:val="auto"/>
                <w:szCs w:val="24"/>
              </w:rPr>
              <w:t>加一间独立的线下活动开标（评标室）评标室加1分；本项最多得3分。（提供场地相关证明图片且能清晰体现其功能）</w:t>
            </w:r>
          </w:p>
          <w:p w14:paraId="1C0CB122">
            <w:pPr>
              <w:autoSpaceDE/>
              <w:autoSpaceDN/>
              <w:snapToGrid w:val="0"/>
              <w:spacing w:line="400" w:lineRule="atLeast"/>
              <w:rPr>
                <w:rFonts w:hint="eastAsia" w:ascii="仿宋" w:hAnsi="仿宋" w:eastAsia="仿宋" w:cs="仿宋"/>
                <w:szCs w:val="24"/>
              </w:rPr>
            </w:pPr>
            <w:r>
              <w:rPr>
                <w:rFonts w:hint="eastAsia" w:ascii="仿宋" w:hAnsi="仿宋" w:eastAsia="仿宋" w:cs="仿宋"/>
                <w:szCs w:val="24"/>
              </w:rPr>
              <w:t>4.参选机构具有独立的监督室，并配有监督视听设备得</w:t>
            </w:r>
            <w:r>
              <w:rPr>
                <w:rFonts w:hint="eastAsia" w:ascii="仿宋" w:hAnsi="仿宋" w:eastAsia="仿宋" w:cs="仿宋"/>
                <w:szCs w:val="24"/>
                <w:lang w:val="en-US" w:eastAsia="zh-CN"/>
              </w:rPr>
              <w:t>0.5</w:t>
            </w:r>
            <w:r>
              <w:rPr>
                <w:rFonts w:hint="eastAsia" w:ascii="仿宋" w:hAnsi="仿宋" w:eastAsia="仿宋" w:cs="仿宋"/>
                <w:szCs w:val="24"/>
              </w:rPr>
              <w:t>分，没有或配置不齐不得分。（提供场地相关证明图片且能清晰体现其功能）</w:t>
            </w:r>
          </w:p>
          <w:p w14:paraId="24BF3316">
            <w:pPr>
              <w:autoSpaceDE/>
              <w:autoSpaceDN/>
              <w:snapToGrid w:val="0"/>
              <w:spacing w:line="400" w:lineRule="atLeast"/>
              <w:rPr>
                <w:rFonts w:hint="eastAsia" w:ascii="仿宋" w:hAnsi="仿宋" w:eastAsia="仿宋" w:cs="仿宋"/>
                <w:szCs w:val="24"/>
              </w:rPr>
            </w:pPr>
            <w:r>
              <w:rPr>
                <w:rFonts w:hint="eastAsia" w:ascii="仿宋" w:hAnsi="仿宋" w:eastAsia="仿宋" w:cs="仿宋"/>
                <w:szCs w:val="24"/>
              </w:rPr>
              <w:t>5.参选机构具有专家等候室的得0.5分。（提供场地相关证明图片且能清晰体现其功能）</w:t>
            </w:r>
          </w:p>
        </w:tc>
        <w:tc>
          <w:tcPr>
            <w:tcW w:w="987" w:type="dxa"/>
            <w:shd w:val="clear" w:color="auto" w:fill="FFFFFF"/>
            <w:noWrap w:val="0"/>
            <w:vAlign w:val="center"/>
          </w:tcPr>
          <w:p w14:paraId="7F7B63C7">
            <w:pPr>
              <w:autoSpaceDE/>
              <w:autoSpaceDN/>
              <w:snapToGrid w:val="0"/>
              <w:spacing w:line="400" w:lineRule="atLeast"/>
              <w:jc w:val="center"/>
              <w:rPr>
                <w:rFonts w:hint="eastAsia" w:ascii="仿宋" w:hAnsi="仿宋" w:eastAsia="仿宋" w:cs="仿宋"/>
                <w:szCs w:val="24"/>
              </w:rPr>
            </w:pPr>
          </w:p>
        </w:tc>
      </w:tr>
      <w:tr w14:paraId="293BAEF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12" w:type="dxa"/>
            <w:vMerge w:val="restart"/>
            <w:shd w:val="clear" w:color="auto" w:fill="FFFFFF"/>
            <w:noWrap w:val="0"/>
            <w:vAlign w:val="center"/>
          </w:tcPr>
          <w:p w14:paraId="1E65C5CB">
            <w:pPr>
              <w:autoSpaceDE/>
              <w:autoSpaceDN/>
              <w:snapToGrid w:val="0"/>
              <w:spacing w:line="400" w:lineRule="atLeast"/>
              <w:jc w:val="center"/>
              <w:rPr>
                <w:rFonts w:hint="eastAsia" w:ascii="仿宋" w:hAnsi="仿宋" w:eastAsia="仿宋" w:cs="仿宋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4"/>
                <w:lang w:val="en-US" w:eastAsia="zh-CN"/>
              </w:rPr>
              <w:t>3</w:t>
            </w:r>
          </w:p>
        </w:tc>
        <w:tc>
          <w:tcPr>
            <w:tcW w:w="1073" w:type="dxa"/>
            <w:vMerge w:val="restart"/>
            <w:shd w:val="clear" w:color="auto" w:fill="FFFFFF"/>
            <w:noWrap w:val="0"/>
            <w:vAlign w:val="center"/>
          </w:tcPr>
          <w:p w14:paraId="3433C5A7">
            <w:pPr>
              <w:autoSpaceDE/>
              <w:autoSpaceDN/>
              <w:snapToGrid w:val="0"/>
              <w:spacing w:line="400" w:lineRule="atLeast"/>
              <w:jc w:val="both"/>
              <w:rPr>
                <w:rFonts w:hint="eastAsia" w:ascii="仿宋" w:hAnsi="仿宋" w:eastAsia="仿宋" w:cs="仿宋"/>
                <w:szCs w:val="24"/>
                <w:lang w:eastAsia="zh-CN"/>
              </w:rPr>
            </w:pPr>
          </w:p>
          <w:p w14:paraId="0A21644C">
            <w:pPr>
              <w:autoSpaceDE/>
              <w:autoSpaceDN/>
              <w:snapToGrid w:val="0"/>
              <w:spacing w:line="400" w:lineRule="atLeast"/>
              <w:jc w:val="both"/>
              <w:rPr>
                <w:rFonts w:hint="eastAsia" w:ascii="仿宋" w:hAnsi="仿宋" w:eastAsia="仿宋" w:cs="仿宋"/>
                <w:szCs w:val="24"/>
                <w:lang w:eastAsia="zh-CN"/>
              </w:rPr>
            </w:pPr>
          </w:p>
          <w:p w14:paraId="1B374F7E">
            <w:pPr>
              <w:autoSpaceDE/>
              <w:autoSpaceDN/>
              <w:snapToGrid w:val="0"/>
              <w:spacing w:line="400" w:lineRule="atLeast"/>
              <w:jc w:val="both"/>
              <w:rPr>
                <w:rFonts w:hint="eastAsia" w:ascii="仿宋" w:hAnsi="仿宋" w:eastAsia="仿宋" w:cs="仿宋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Cs w:val="24"/>
                <w:lang w:eastAsia="zh-CN"/>
              </w:rPr>
              <w:t>履约</w:t>
            </w:r>
          </w:p>
          <w:p w14:paraId="0A0DBAC0">
            <w:pPr>
              <w:autoSpaceDE/>
              <w:autoSpaceDN/>
              <w:snapToGrid w:val="0"/>
              <w:spacing w:line="400" w:lineRule="atLeast"/>
              <w:jc w:val="both"/>
              <w:rPr>
                <w:rFonts w:hint="eastAsia" w:ascii="仿宋" w:hAnsi="仿宋" w:eastAsia="仿宋" w:cs="仿宋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Cs w:val="24"/>
                <w:lang w:eastAsia="zh-CN"/>
              </w:rPr>
              <w:t>能力</w:t>
            </w:r>
          </w:p>
          <w:p w14:paraId="505FBE07">
            <w:pPr>
              <w:autoSpaceDE/>
              <w:autoSpaceDN/>
              <w:snapToGrid w:val="0"/>
              <w:spacing w:line="400" w:lineRule="atLeast"/>
              <w:ind w:firstLine="240" w:firstLineChars="100"/>
              <w:jc w:val="both"/>
              <w:rPr>
                <w:rFonts w:hint="default" w:ascii="仿宋" w:hAnsi="仿宋" w:eastAsia="仿宋" w:cs="仿宋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4"/>
                <w:lang w:val="en-US" w:eastAsia="zh-CN"/>
              </w:rPr>
              <w:t>50%</w:t>
            </w:r>
          </w:p>
        </w:tc>
        <w:tc>
          <w:tcPr>
            <w:tcW w:w="843" w:type="dxa"/>
            <w:shd w:val="clear" w:color="auto" w:fill="FFFFFF"/>
            <w:noWrap w:val="0"/>
            <w:vAlign w:val="center"/>
          </w:tcPr>
          <w:p w14:paraId="09990954">
            <w:pPr>
              <w:autoSpaceDE/>
              <w:autoSpaceDN/>
              <w:snapToGrid w:val="0"/>
              <w:spacing w:line="400" w:lineRule="atLeast"/>
              <w:jc w:val="center"/>
              <w:rPr>
                <w:rFonts w:hint="default" w:ascii="仿宋" w:hAnsi="仿宋" w:eastAsia="仿宋" w:cs="仿宋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4"/>
                <w:lang w:val="en-US" w:eastAsia="zh-CN"/>
              </w:rPr>
              <w:t>23分</w:t>
            </w:r>
          </w:p>
        </w:tc>
        <w:tc>
          <w:tcPr>
            <w:tcW w:w="6304" w:type="dxa"/>
            <w:shd w:val="clear" w:color="auto" w:fill="FFFFFF"/>
            <w:noWrap w:val="0"/>
            <w:vAlign w:val="center"/>
          </w:tcPr>
          <w:p w14:paraId="62BB7CA0">
            <w:pPr>
              <w:autoSpaceDE/>
              <w:autoSpaceDN/>
              <w:snapToGrid w:val="0"/>
              <w:spacing w:line="400" w:lineRule="atLeast"/>
              <w:rPr>
                <w:rFonts w:hint="eastAsia" w:ascii="仿宋" w:hAnsi="仿宋" w:eastAsia="仿宋" w:cs="仿宋"/>
                <w:color w:val="auto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szCs w:val="24"/>
              </w:rPr>
              <w:t>.参选机构拟派我单位项目负责人</w:t>
            </w:r>
            <w:r>
              <w:rPr>
                <w:rFonts w:hint="eastAsia" w:ascii="仿宋" w:hAnsi="仿宋" w:eastAsia="仿宋" w:cs="仿宋"/>
                <w:color w:val="auto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zCs w:val="24"/>
                <w:lang w:val="en-US" w:eastAsia="zh-CN"/>
              </w:rPr>
              <w:t>1人</w:t>
            </w:r>
            <w:r>
              <w:rPr>
                <w:rFonts w:hint="eastAsia" w:ascii="仿宋" w:hAnsi="仿宋" w:eastAsia="仿宋" w:cs="仿宋"/>
                <w:color w:val="auto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color w:val="auto"/>
                <w:szCs w:val="24"/>
              </w:rPr>
              <w:t>：具有中级</w:t>
            </w:r>
            <w:r>
              <w:rPr>
                <w:rFonts w:hint="eastAsia" w:ascii="仿宋" w:hAnsi="仿宋" w:eastAsia="仿宋" w:cs="仿宋"/>
                <w:color w:val="auto"/>
                <w:szCs w:val="24"/>
                <w:lang w:val="en-US" w:eastAsia="zh-CN"/>
              </w:rPr>
              <w:t>及以上</w:t>
            </w:r>
            <w:r>
              <w:rPr>
                <w:rFonts w:hint="eastAsia" w:ascii="仿宋" w:hAnsi="仿宋" w:eastAsia="仿宋" w:cs="仿宋"/>
                <w:color w:val="auto"/>
                <w:szCs w:val="24"/>
              </w:rPr>
              <w:t>职称</w:t>
            </w:r>
            <w:r>
              <w:rPr>
                <w:rFonts w:hint="eastAsia" w:ascii="仿宋" w:hAnsi="仿宋" w:eastAsia="仿宋" w:cs="仿宋"/>
                <w:color w:val="auto"/>
                <w:szCs w:val="24"/>
                <w:lang w:eastAsia="zh-CN"/>
              </w:rPr>
              <w:t>的</w:t>
            </w:r>
            <w:r>
              <w:rPr>
                <w:rFonts w:hint="eastAsia" w:ascii="仿宋" w:hAnsi="仿宋" w:eastAsia="仿宋" w:cs="仿宋"/>
                <w:color w:val="auto"/>
                <w:szCs w:val="24"/>
                <w:lang w:val="en-US" w:eastAsia="zh-CN"/>
              </w:rPr>
              <w:t>得4分</w:t>
            </w:r>
            <w:r>
              <w:rPr>
                <w:rFonts w:hint="eastAsia" w:ascii="仿宋" w:hAnsi="仿宋" w:eastAsia="仿宋" w:cs="仿宋"/>
                <w:color w:val="auto"/>
                <w:szCs w:val="24"/>
              </w:rPr>
              <w:t>；</w:t>
            </w:r>
            <w:r>
              <w:rPr>
                <w:rFonts w:hint="eastAsia" w:ascii="仿宋" w:hAnsi="仿宋" w:eastAsia="仿宋" w:cs="仿宋"/>
                <w:color w:val="auto"/>
                <w:szCs w:val="24"/>
                <w:lang w:eastAsia="zh-CN"/>
              </w:rPr>
              <w:t>同时</w:t>
            </w:r>
            <w:r>
              <w:rPr>
                <w:rFonts w:hint="eastAsia" w:ascii="仿宋" w:hAnsi="仿宋" w:eastAsia="仿宋" w:cs="仿宋"/>
                <w:color w:val="auto"/>
                <w:szCs w:val="24"/>
                <w:lang w:val="en-US" w:eastAsia="zh-CN"/>
              </w:rPr>
              <w:t>具有“四川省政府采购评审专家”资格的加4分。</w:t>
            </w:r>
            <w:r>
              <w:rPr>
                <w:rFonts w:hint="eastAsia" w:ascii="仿宋" w:hAnsi="仿宋" w:eastAsia="仿宋" w:cs="仿宋"/>
                <w:color w:val="auto"/>
                <w:szCs w:val="24"/>
              </w:rPr>
              <w:t>（注：①</w:t>
            </w:r>
            <w:r>
              <w:rPr>
                <w:rFonts w:hint="eastAsia" w:ascii="仿宋" w:hAnsi="仿宋" w:eastAsia="仿宋" w:cs="仿宋"/>
                <w:color w:val="auto"/>
                <w:szCs w:val="24"/>
                <w:lang w:eastAsia="zh-CN"/>
              </w:rPr>
              <w:t>提供</w:t>
            </w:r>
            <w:r>
              <w:rPr>
                <w:rFonts w:hint="eastAsia" w:ascii="仿宋" w:hAnsi="仿宋" w:eastAsia="仿宋" w:cs="仿宋"/>
                <w:color w:val="auto"/>
                <w:szCs w:val="24"/>
              </w:rPr>
              <w:t>职称证书复印件</w:t>
            </w:r>
            <w:r>
              <w:rPr>
                <w:rFonts w:hint="eastAsia" w:ascii="仿宋" w:hAnsi="仿宋" w:eastAsia="仿宋" w:cs="仿宋"/>
                <w:color w:val="auto"/>
                <w:szCs w:val="24"/>
                <w:lang w:eastAsia="zh-CN"/>
              </w:rPr>
              <w:t>；</w:t>
            </w:r>
            <w:r>
              <w:rPr>
                <w:rFonts w:hint="eastAsia" w:ascii="仿宋" w:hAnsi="仿宋" w:eastAsia="仿宋" w:cs="仿宋"/>
                <w:color w:val="auto"/>
                <w:szCs w:val="24"/>
              </w:rPr>
              <w:t>②</w:t>
            </w:r>
            <w:r>
              <w:rPr>
                <w:rFonts w:hint="eastAsia" w:ascii="仿宋" w:hAnsi="仿宋" w:eastAsia="仿宋" w:cs="仿宋"/>
                <w:color w:val="auto"/>
                <w:szCs w:val="24"/>
                <w:lang w:val="en-US" w:eastAsia="zh-CN"/>
              </w:rPr>
              <w:t>提供专家证电子证书；③</w:t>
            </w:r>
            <w:r>
              <w:rPr>
                <w:rFonts w:hint="eastAsia" w:ascii="仿宋" w:hAnsi="仿宋" w:eastAsia="仿宋" w:cs="仿宋"/>
                <w:color w:val="auto"/>
                <w:szCs w:val="24"/>
              </w:rPr>
              <w:t>提供为其缴纳近</w:t>
            </w:r>
            <w:r>
              <w:rPr>
                <w:rFonts w:hint="eastAsia" w:ascii="仿宋" w:hAnsi="仿宋" w:eastAsia="仿宋" w:cs="仿宋"/>
                <w:color w:val="auto"/>
                <w:szCs w:val="24"/>
                <w:lang w:val="en-US" w:eastAsia="zh-CN"/>
              </w:rPr>
              <w:t>6个</w:t>
            </w:r>
            <w:r>
              <w:rPr>
                <w:rFonts w:hint="eastAsia" w:ascii="仿宋" w:hAnsi="仿宋" w:eastAsia="仿宋" w:cs="仿宋"/>
                <w:color w:val="auto"/>
                <w:szCs w:val="24"/>
              </w:rPr>
              <w:t>月的社保证明</w:t>
            </w:r>
            <w:r>
              <w:rPr>
                <w:rFonts w:hint="eastAsia" w:ascii="仿宋" w:hAnsi="仿宋" w:eastAsia="仿宋" w:cs="仿宋"/>
                <w:color w:val="auto"/>
                <w:szCs w:val="24"/>
                <w:lang w:val="en-US" w:eastAsia="zh-CN"/>
              </w:rPr>
              <w:t>或劳动合同证明。）</w:t>
            </w:r>
          </w:p>
          <w:p w14:paraId="6F8D49A5">
            <w:pPr>
              <w:autoSpaceDE/>
              <w:autoSpaceDN/>
              <w:snapToGrid w:val="0"/>
              <w:spacing w:line="400" w:lineRule="atLeast"/>
              <w:rPr>
                <w:rFonts w:hint="eastAsia" w:ascii="仿宋" w:hAnsi="仿宋" w:eastAsia="仿宋" w:cs="仿宋"/>
                <w:color w:val="auto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Cs w:val="24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color w:val="auto"/>
                <w:szCs w:val="24"/>
              </w:rPr>
              <w:t>参选机构拟派本项目服务</w:t>
            </w:r>
            <w:r>
              <w:rPr>
                <w:rFonts w:hint="eastAsia" w:ascii="仿宋" w:hAnsi="仿宋" w:eastAsia="仿宋" w:cs="仿宋"/>
                <w:color w:val="auto"/>
                <w:szCs w:val="24"/>
                <w:lang w:val="en-US" w:eastAsia="zh-CN"/>
              </w:rPr>
              <w:t>团队（不含项目负责人）</w:t>
            </w:r>
            <w:r>
              <w:rPr>
                <w:rFonts w:hint="eastAsia" w:ascii="仿宋" w:hAnsi="仿宋" w:eastAsia="仿宋" w:cs="仿宋"/>
                <w:color w:val="auto"/>
                <w:szCs w:val="24"/>
              </w:rPr>
              <w:t>：</w:t>
            </w:r>
            <w:r>
              <w:rPr>
                <w:rFonts w:hint="eastAsia" w:ascii="仿宋" w:hAnsi="仿宋" w:eastAsia="仿宋" w:cs="仿宋"/>
                <w:color w:val="auto"/>
                <w:szCs w:val="24"/>
                <w:lang w:eastAsia="zh-CN"/>
              </w:rPr>
              <w:t>熟悉政府采购业务的专职人员，且</w:t>
            </w:r>
            <w:r>
              <w:rPr>
                <w:rFonts w:hint="eastAsia" w:ascii="仿宋" w:hAnsi="仿宋" w:eastAsia="仿宋" w:cs="仿宋"/>
                <w:color w:val="auto"/>
                <w:szCs w:val="24"/>
              </w:rPr>
              <w:t>在“四川政府采购网”完成专职人员备案</w:t>
            </w:r>
            <w:r>
              <w:rPr>
                <w:rFonts w:hint="eastAsia" w:ascii="仿宋" w:hAnsi="仿宋" w:eastAsia="仿宋" w:cs="仿宋"/>
                <w:color w:val="auto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color w:val="auto"/>
                <w:szCs w:val="24"/>
              </w:rPr>
              <w:t>每提供1人得</w:t>
            </w:r>
            <w:r>
              <w:rPr>
                <w:rFonts w:hint="eastAsia" w:ascii="仿宋" w:hAnsi="仿宋" w:eastAsia="仿宋" w:cs="仿宋"/>
                <w:color w:val="auto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color w:val="auto"/>
                <w:szCs w:val="24"/>
              </w:rPr>
              <w:t>分，本项最高得1</w:t>
            </w:r>
            <w:r>
              <w:rPr>
                <w:rFonts w:hint="eastAsia" w:ascii="仿宋" w:hAnsi="仿宋" w:eastAsia="仿宋" w:cs="仿宋"/>
                <w:color w:val="auto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auto"/>
                <w:szCs w:val="24"/>
              </w:rPr>
              <w:t>分</w:t>
            </w:r>
            <w:r>
              <w:rPr>
                <w:rFonts w:hint="eastAsia" w:ascii="仿宋" w:hAnsi="仿宋" w:eastAsia="仿宋" w:cs="仿宋"/>
                <w:color w:val="auto"/>
                <w:szCs w:val="24"/>
                <w:lang w:eastAsia="zh-CN"/>
              </w:rPr>
              <w:t>。</w:t>
            </w:r>
          </w:p>
          <w:p w14:paraId="1F2BECEE">
            <w:pPr>
              <w:autoSpaceDE/>
              <w:autoSpaceDN/>
              <w:snapToGrid w:val="0"/>
              <w:spacing w:line="400" w:lineRule="atLeast"/>
              <w:rPr>
                <w:rFonts w:hint="eastAsia" w:ascii="仿宋" w:hAnsi="仿宋" w:eastAsia="仿宋" w:cs="仿宋"/>
                <w:color w:val="auto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Cs w:val="24"/>
              </w:rPr>
              <w:t>（注：①提供</w:t>
            </w:r>
            <w:r>
              <w:rPr>
                <w:rFonts w:hint="eastAsia" w:ascii="仿宋" w:hAnsi="仿宋" w:eastAsia="仿宋" w:cs="仿宋"/>
                <w:color w:val="auto"/>
                <w:szCs w:val="24"/>
                <w:lang w:eastAsia="zh-CN"/>
              </w:rPr>
              <w:t>网站截图；</w:t>
            </w:r>
            <w:r>
              <w:rPr>
                <w:rFonts w:hint="eastAsia" w:ascii="仿宋" w:hAnsi="仿宋" w:eastAsia="仿宋" w:cs="仿宋"/>
                <w:color w:val="auto"/>
                <w:szCs w:val="24"/>
              </w:rPr>
              <w:t>②</w:t>
            </w:r>
            <w:r>
              <w:rPr>
                <w:rFonts w:hint="eastAsia" w:ascii="仿宋" w:hAnsi="仿宋" w:eastAsia="仿宋" w:cs="仿宋"/>
                <w:color w:val="auto"/>
                <w:szCs w:val="24"/>
                <w:lang w:val="en-US" w:eastAsia="zh-CN"/>
              </w:rPr>
              <w:t>提供</w:t>
            </w:r>
            <w:r>
              <w:rPr>
                <w:rFonts w:hint="eastAsia" w:ascii="仿宋" w:hAnsi="仿宋" w:eastAsia="仿宋" w:cs="仿宋"/>
                <w:color w:val="auto"/>
                <w:szCs w:val="24"/>
              </w:rPr>
              <w:t>为其缴纳近</w:t>
            </w:r>
            <w:r>
              <w:rPr>
                <w:rFonts w:hint="eastAsia" w:ascii="仿宋" w:hAnsi="仿宋" w:eastAsia="仿宋" w:cs="仿宋"/>
                <w:color w:val="auto"/>
                <w:szCs w:val="24"/>
                <w:lang w:val="en-US" w:eastAsia="zh-CN"/>
              </w:rPr>
              <w:t>6个</w:t>
            </w:r>
            <w:r>
              <w:rPr>
                <w:rFonts w:hint="eastAsia" w:ascii="仿宋" w:hAnsi="仿宋" w:eastAsia="仿宋" w:cs="仿宋"/>
                <w:color w:val="auto"/>
                <w:szCs w:val="24"/>
              </w:rPr>
              <w:t>月的社保证明</w:t>
            </w:r>
            <w:r>
              <w:rPr>
                <w:rFonts w:hint="eastAsia" w:ascii="仿宋" w:hAnsi="仿宋" w:eastAsia="仿宋" w:cs="仿宋"/>
                <w:color w:val="auto"/>
                <w:szCs w:val="24"/>
                <w:lang w:val="en-US" w:eastAsia="zh-CN"/>
              </w:rPr>
              <w:t>或劳动合同证明</w:t>
            </w:r>
            <w:r>
              <w:rPr>
                <w:rFonts w:hint="eastAsia" w:ascii="仿宋" w:hAnsi="仿宋" w:eastAsia="仿宋" w:cs="仿宋"/>
                <w:color w:val="auto"/>
                <w:szCs w:val="24"/>
              </w:rPr>
              <w:t>）</w:t>
            </w:r>
          </w:p>
          <w:p w14:paraId="1E6B5C70">
            <w:pPr>
              <w:autoSpaceDE/>
              <w:autoSpaceDN/>
              <w:snapToGrid w:val="0"/>
              <w:spacing w:line="400" w:lineRule="atLeast"/>
              <w:rPr>
                <w:rFonts w:hint="eastAsia"/>
              </w:rPr>
            </w:pPr>
            <w:r>
              <w:rPr>
                <w:rFonts w:hint="eastAsia" w:ascii="仿宋" w:hAnsi="仿宋" w:eastAsia="仿宋" w:cs="仿宋"/>
                <w:color w:val="auto"/>
                <w:szCs w:val="24"/>
              </w:rPr>
              <w:t>以上人员不重复计分。</w:t>
            </w:r>
          </w:p>
        </w:tc>
        <w:tc>
          <w:tcPr>
            <w:tcW w:w="987" w:type="dxa"/>
            <w:shd w:val="clear" w:color="auto" w:fill="FFFFFF"/>
            <w:noWrap w:val="0"/>
            <w:vAlign w:val="center"/>
          </w:tcPr>
          <w:p w14:paraId="129519C8">
            <w:pPr>
              <w:autoSpaceDE/>
              <w:autoSpaceDN/>
              <w:snapToGrid w:val="0"/>
              <w:spacing w:line="400" w:lineRule="atLeast"/>
              <w:jc w:val="center"/>
              <w:rPr>
                <w:rFonts w:hint="eastAsia" w:ascii="仿宋" w:hAnsi="仿宋" w:eastAsia="仿宋" w:cs="仿宋"/>
                <w:szCs w:val="24"/>
              </w:rPr>
            </w:pPr>
          </w:p>
        </w:tc>
      </w:tr>
      <w:tr w14:paraId="078D0B7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12" w:type="dxa"/>
            <w:vMerge w:val="continue"/>
            <w:shd w:val="clear" w:color="auto" w:fill="FFFFFF"/>
            <w:noWrap w:val="0"/>
            <w:vAlign w:val="center"/>
          </w:tcPr>
          <w:p w14:paraId="2CC4B9D3">
            <w:pPr>
              <w:autoSpaceDE/>
              <w:autoSpaceDN/>
              <w:snapToGrid w:val="0"/>
              <w:spacing w:line="400" w:lineRule="atLeast"/>
              <w:jc w:val="center"/>
              <w:rPr>
                <w:rFonts w:hint="eastAsia" w:ascii="仿宋" w:hAnsi="仿宋" w:eastAsia="仿宋" w:cs="仿宋"/>
                <w:szCs w:val="24"/>
              </w:rPr>
            </w:pPr>
          </w:p>
        </w:tc>
        <w:tc>
          <w:tcPr>
            <w:tcW w:w="1073" w:type="dxa"/>
            <w:vMerge w:val="continue"/>
            <w:shd w:val="clear" w:color="auto" w:fill="FFFFFF"/>
            <w:noWrap w:val="0"/>
            <w:vAlign w:val="center"/>
          </w:tcPr>
          <w:p w14:paraId="70B8B53A">
            <w:pPr>
              <w:autoSpaceDE/>
              <w:autoSpaceDN/>
              <w:snapToGrid w:val="0"/>
              <w:spacing w:line="400" w:lineRule="atLeast"/>
              <w:jc w:val="both"/>
              <w:rPr>
                <w:rFonts w:hint="eastAsia"/>
                <w:lang w:eastAsia="zh-CN"/>
              </w:rPr>
            </w:pPr>
          </w:p>
        </w:tc>
        <w:tc>
          <w:tcPr>
            <w:tcW w:w="843" w:type="dxa"/>
            <w:shd w:val="clear" w:color="auto" w:fill="FFFFFF"/>
            <w:noWrap w:val="0"/>
            <w:vAlign w:val="center"/>
          </w:tcPr>
          <w:p w14:paraId="38D5EB2A">
            <w:pPr>
              <w:autoSpaceDE/>
              <w:autoSpaceDN/>
              <w:snapToGrid w:val="0"/>
              <w:spacing w:line="400" w:lineRule="atLeast"/>
              <w:rPr>
                <w:rFonts w:hint="default" w:ascii="仿宋" w:hAnsi="仿宋" w:eastAsia="仿宋" w:cs="仿宋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4"/>
                <w:lang w:val="en-US" w:eastAsia="zh-CN"/>
              </w:rPr>
              <w:t>27分</w:t>
            </w:r>
          </w:p>
        </w:tc>
        <w:tc>
          <w:tcPr>
            <w:tcW w:w="6304" w:type="dxa"/>
            <w:shd w:val="clear" w:color="auto" w:fill="FFFFFF"/>
            <w:noWrap w:val="0"/>
            <w:vAlign w:val="center"/>
          </w:tcPr>
          <w:p w14:paraId="78F73B8B">
            <w:pPr>
              <w:autoSpaceDE/>
              <w:autoSpaceDN/>
              <w:snapToGrid w:val="0"/>
              <w:spacing w:line="400" w:lineRule="atLeast"/>
              <w:rPr>
                <w:rFonts w:hint="eastAsia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Cs w:val="24"/>
                <w:lang w:val="en-US" w:eastAsia="zh-CN"/>
              </w:rPr>
              <w:t>2023年1月1日至今，代理机构承担的采购代理业绩：每具有一个采购代理业绩的得2.7分，最多得27分。（提供业绩清单及代理合同，或挂网截图。）</w:t>
            </w:r>
          </w:p>
        </w:tc>
        <w:tc>
          <w:tcPr>
            <w:tcW w:w="987" w:type="dxa"/>
            <w:shd w:val="clear" w:color="auto" w:fill="FFFFFF"/>
            <w:noWrap w:val="0"/>
            <w:vAlign w:val="center"/>
          </w:tcPr>
          <w:p w14:paraId="45CF1986">
            <w:pPr>
              <w:autoSpaceDE/>
              <w:autoSpaceDN/>
              <w:snapToGrid w:val="0"/>
              <w:spacing w:line="400" w:lineRule="atLeast"/>
              <w:jc w:val="center"/>
              <w:rPr>
                <w:rFonts w:hint="eastAsia"/>
              </w:rPr>
            </w:pPr>
          </w:p>
          <w:p w14:paraId="2A22D2D4">
            <w:pPr>
              <w:pStyle w:val="2"/>
              <w:rPr>
                <w:rFonts w:hint="eastAsia"/>
              </w:rPr>
            </w:pPr>
            <w:r>
              <w:rPr>
                <w:rFonts w:hint="eastAsia" w:ascii="仿宋" w:hAnsi="仿宋" w:eastAsia="仿宋" w:cs="仿宋"/>
                <w:szCs w:val="24"/>
                <w:lang w:val="en-US" w:eastAsia="zh-C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hint="eastAsia" w:ascii="仿宋" w:hAnsi="仿宋" w:eastAsia="仿宋" w:cs="仿宋"/>
                <w:szCs w:val="24"/>
                <w:lang w:val="en-US" w:eastAsia="zh-C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14:paraId="2B593E6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12" w:type="dxa"/>
            <w:shd w:val="clear" w:color="auto" w:fill="FFFFFF"/>
            <w:noWrap w:val="0"/>
            <w:vAlign w:val="center"/>
          </w:tcPr>
          <w:p w14:paraId="3FEE838A">
            <w:pPr>
              <w:pStyle w:val="4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1"/>
                <w:tab w:val="left" w:pos="5041"/>
                <w:tab w:val="left" w:pos="5761"/>
                <w:tab w:val="left" w:pos="6481"/>
                <w:tab w:val="left" w:pos="7201"/>
                <w:tab w:val="left" w:pos="7921"/>
              </w:tabs>
              <w:autoSpaceDE/>
              <w:autoSpaceDN/>
              <w:snapToGrid w:val="0"/>
              <w:spacing w:after="0" w:line="400" w:lineRule="atLeast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6</w:t>
            </w:r>
          </w:p>
        </w:tc>
        <w:tc>
          <w:tcPr>
            <w:tcW w:w="1073" w:type="dxa"/>
            <w:shd w:val="clear" w:color="auto" w:fill="FFFFFF"/>
            <w:noWrap w:val="0"/>
            <w:vAlign w:val="center"/>
          </w:tcPr>
          <w:p w14:paraId="5855AFE8">
            <w:pPr>
              <w:pStyle w:val="4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1"/>
                <w:tab w:val="left" w:pos="5041"/>
                <w:tab w:val="left" w:pos="5761"/>
                <w:tab w:val="left" w:pos="6481"/>
                <w:tab w:val="left" w:pos="7201"/>
                <w:tab w:val="left" w:pos="7921"/>
              </w:tabs>
              <w:autoSpaceDE/>
              <w:autoSpaceDN/>
              <w:snapToGrid w:val="0"/>
              <w:spacing w:after="0" w:line="40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服务</w:t>
            </w:r>
          </w:p>
          <w:p w14:paraId="3DCB1F65">
            <w:pPr>
              <w:pStyle w:val="4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1"/>
                <w:tab w:val="left" w:pos="5041"/>
                <w:tab w:val="left" w:pos="5761"/>
                <w:tab w:val="left" w:pos="6481"/>
                <w:tab w:val="left" w:pos="7201"/>
                <w:tab w:val="left" w:pos="7921"/>
              </w:tabs>
              <w:autoSpaceDE/>
              <w:autoSpaceDN/>
              <w:snapToGrid w:val="0"/>
              <w:spacing w:after="0" w:line="40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方案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30</w:t>
            </w:r>
            <w:r>
              <w:rPr>
                <w:rFonts w:hint="eastAsia" w:ascii="仿宋" w:hAnsi="仿宋" w:eastAsia="仿宋" w:cs="仿宋"/>
                <w:sz w:val="24"/>
              </w:rPr>
              <w:t>%</w:t>
            </w:r>
          </w:p>
        </w:tc>
        <w:tc>
          <w:tcPr>
            <w:tcW w:w="843" w:type="dxa"/>
            <w:shd w:val="clear" w:color="auto" w:fill="FFFFFF"/>
            <w:noWrap w:val="0"/>
            <w:vAlign w:val="center"/>
          </w:tcPr>
          <w:p w14:paraId="5938C82E">
            <w:pPr>
              <w:pStyle w:val="4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1"/>
                <w:tab w:val="left" w:pos="5041"/>
                <w:tab w:val="left" w:pos="5761"/>
                <w:tab w:val="left" w:pos="6481"/>
                <w:tab w:val="left" w:pos="7201"/>
                <w:tab w:val="left" w:pos="7921"/>
              </w:tabs>
              <w:autoSpaceDE/>
              <w:autoSpaceDN/>
              <w:snapToGrid w:val="0"/>
              <w:spacing w:after="0" w:line="40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30</w:t>
            </w:r>
            <w:r>
              <w:rPr>
                <w:rFonts w:hint="eastAsia" w:ascii="仿宋" w:hAnsi="仿宋" w:eastAsia="仿宋" w:cs="仿宋"/>
                <w:sz w:val="24"/>
              </w:rPr>
              <w:t>分</w:t>
            </w:r>
          </w:p>
        </w:tc>
        <w:tc>
          <w:tcPr>
            <w:tcW w:w="6304" w:type="dxa"/>
            <w:shd w:val="clear" w:color="auto" w:fill="FFFFFF"/>
            <w:noWrap w:val="0"/>
            <w:vAlign w:val="center"/>
          </w:tcPr>
          <w:p w14:paraId="5B38D560">
            <w:pPr>
              <w:widowControl/>
              <w:autoSpaceDE/>
              <w:autoSpaceDN/>
              <w:snapToGrid w:val="0"/>
              <w:spacing w:line="400" w:lineRule="atLeast"/>
              <w:rPr>
                <w:rFonts w:hint="eastAsia"/>
              </w:rPr>
            </w:pPr>
            <w:r>
              <w:rPr>
                <w:rFonts w:hint="eastAsia" w:ascii="仿宋" w:hAnsi="仿宋" w:eastAsia="仿宋" w:cs="仿宋"/>
                <w:spacing w:val="-11"/>
                <w:szCs w:val="24"/>
                <w:lang w:val="en-US" w:eastAsia="zh-CN"/>
              </w:rPr>
              <w:t>根据采购人采购项目特征制定服务方案，包含但不限于：①服务保障（公司组织架构、部门规范、岗位配置、实效管理、质量控制、服务质量）；②项目实施（需求管理、文件编制、文件及公告审核、系统推送、信息发布、开评标组织、项目复核、资料移交、质疑投诉处理、备案资料制作及移交）；③档案管理（档案运输、管理制度、调档流程）；④其他服务（政策解读、业务指导、日常咨询）；⑤内控管理（项目流程、内控机制、风险点管控、廉洁纪律、保密制度）。方案完整、清晰合理、可行性强，完全满足实际需求，得30分；每有一项缺失扣6分，扣完为止；每有一项内容不完善扣3分（不完善是指：项目名称错误、前后内容矛盾、与本项目无关、存在不适于本项目实际的情形或不符合现行法律法规要求等）。</w:t>
            </w:r>
          </w:p>
        </w:tc>
        <w:tc>
          <w:tcPr>
            <w:tcW w:w="987" w:type="dxa"/>
            <w:shd w:val="clear" w:color="auto" w:fill="FFFFFF"/>
            <w:noWrap w:val="0"/>
            <w:vAlign w:val="center"/>
          </w:tcPr>
          <w:p w14:paraId="59BFFD59">
            <w:pPr>
              <w:pStyle w:val="4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1"/>
                <w:tab w:val="left" w:pos="5041"/>
                <w:tab w:val="left" w:pos="5761"/>
                <w:tab w:val="left" w:pos="6481"/>
                <w:tab w:val="left" w:pos="7201"/>
                <w:tab w:val="left" w:pos="7921"/>
              </w:tabs>
              <w:autoSpaceDE/>
              <w:autoSpaceDN/>
              <w:snapToGrid w:val="0"/>
              <w:spacing w:after="0" w:line="400" w:lineRule="atLeast"/>
              <w:rPr>
                <w:rFonts w:hint="eastAsia" w:ascii="仿宋" w:hAnsi="仿宋" w:eastAsia="仿宋" w:cs="仿宋"/>
                <w:sz w:val="24"/>
              </w:rPr>
            </w:pPr>
          </w:p>
        </w:tc>
      </w:tr>
    </w:tbl>
    <w:p w14:paraId="7BCF80D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5103EA"/>
    <w:rsid w:val="075B7024"/>
    <w:rsid w:val="3FC578AB"/>
    <w:rsid w:val="498134E7"/>
    <w:rsid w:val="79510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sz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标题 5（有编号）（绿盟科技）"/>
    <w:basedOn w:val="1"/>
    <w:next w:val="3"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jc w:val="left"/>
      <w:outlineLvl w:val="4"/>
    </w:pPr>
    <w:rPr>
      <w:rFonts w:ascii="Arial" w:hAnsi="Arial" w:eastAsia="黑体"/>
      <w:b/>
      <w:kern w:val="0"/>
      <w:sz w:val="24"/>
      <w:szCs w:val="28"/>
    </w:rPr>
  </w:style>
  <w:style w:type="paragraph" w:customStyle="1" w:styleId="3">
    <w:name w:val="正文（绿盟科技）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paragraph" w:styleId="4">
    <w:name w:val="Body Text"/>
    <w:basedOn w:val="1"/>
    <w:next w:val="1"/>
    <w:qFormat/>
    <w:uiPriority w:val="0"/>
    <w:pPr>
      <w:widowControl w:val="0"/>
      <w:spacing w:after="12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7">
    <w:name w:val="Table Paragraph"/>
    <w:basedOn w:val="1"/>
    <w:qFormat/>
    <w:uiPriority w:val="1"/>
    <w:rPr>
      <w:rFonts w:ascii="等线" w:hAnsi="等线" w:eastAsia="等线" w:cs="等线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四川分公司</Company>
  <Pages>2</Pages>
  <Words>1162</Words>
  <Characters>1232</Characters>
  <Lines>0</Lines>
  <Paragraphs>0</Paragraphs>
  <TotalTime>0</TotalTime>
  <ScaleCrop>false</ScaleCrop>
  <LinksUpToDate>false</LinksUpToDate>
  <CharactersWithSpaces>5756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2026-08-13T01:22:00Z</dcterms:created>
  <dc:creator>Administrator</dc:creator>
  <cp:lastModifiedBy>Administrator</cp:lastModifiedBy>
  <dcterms:modified xsi:type="dcterms:W3CDTF">2026-08-13T03:32:33Z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13A76199AEF24D8496DFA57A8C80B940_11</vt:lpwstr>
  </property>
  <property fmtid="{D5CDD505-2E9C-101B-9397-08002B2CF9AE}" pid="4" name="KSOTemplateDocerSaveRecord">
    <vt:lpwstr>eyJoZGlkIjoiOTdhOTE2YTBmOWVjODZjZmYyN2FhZjI5NjFiYWIyNTIiLCJ1c2VySWQiOiIxNTA2MzQ1NDgzIn0=</vt:lpwstr>
  </property>
</Properties>
</file>