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560" w:lineRule="exact"/>
        <w:ind w:left="450" w:right="450" w:firstLine="420"/>
        <w:jc w:val="left"/>
        <w:textAlignment w:val="auto"/>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附件1</w:t>
      </w:r>
    </w:p>
    <w:p>
      <w:pPr>
        <w:pStyle w:val="2"/>
        <w:keepNext w:val="0"/>
        <w:keepLines w:val="0"/>
        <w:pageBreakBefore w:val="0"/>
        <w:widowControl w:val="0"/>
        <w:kinsoku/>
        <w:wordWrap/>
        <w:overflowPunct/>
        <w:topLinePunct w:val="0"/>
        <w:autoSpaceDE/>
        <w:autoSpaceDN/>
        <w:bidi w:val="0"/>
        <w:adjustRightInd w:val="0"/>
        <w:snapToGrid w:val="0"/>
        <w:spacing w:before="195" w:line="560" w:lineRule="exact"/>
        <w:jc w:val="center"/>
        <w:textAlignment w:val="auto"/>
        <w:rPr>
          <w:rFonts w:hint="eastAsia"/>
          <w:spacing w:val="-2"/>
          <w:sz w:val="44"/>
          <w:szCs w:val="44"/>
          <w:lang w:val="en-US" w:eastAsia="zh-CN"/>
        </w:rPr>
      </w:pPr>
      <w:bookmarkStart w:id="0" w:name="_GoBack"/>
      <w:r>
        <w:rPr>
          <w:rFonts w:hint="eastAsia"/>
          <w:spacing w:val="-2"/>
          <w:sz w:val="44"/>
          <w:szCs w:val="44"/>
          <w:lang w:val="en-US" w:eastAsia="zh-CN"/>
        </w:rPr>
        <w:t>服务要求</w:t>
      </w:r>
    </w:p>
    <w:bookmarkEnd w:id="0"/>
    <w:p>
      <w:pPr>
        <w:pStyle w:val="2"/>
        <w:keepNext w:val="0"/>
        <w:keepLines w:val="0"/>
        <w:pageBreakBefore w:val="0"/>
        <w:widowControl w:val="0"/>
        <w:kinsoku/>
        <w:wordWrap/>
        <w:overflowPunct/>
        <w:topLinePunct w:val="0"/>
        <w:autoSpaceDE/>
        <w:autoSpaceDN/>
        <w:bidi w:val="0"/>
        <w:adjustRightInd w:val="0"/>
        <w:snapToGrid w:val="0"/>
        <w:spacing w:before="195" w:line="560" w:lineRule="exact"/>
        <w:ind w:left="449"/>
        <w:textAlignment w:val="auto"/>
        <w:rPr>
          <w:rFonts w:hint="default"/>
          <w:spacing w:val="-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firstLine="472" w:firstLineChars="200"/>
        <w:textAlignment w:val="auto"/>
      </w:pPr>
      <w:r>
        <w:rPr>
          <w:spacing w:val="-2"/>
        </w:rPr>
        <w:t>（一）医院绩效管理调研诊断及培训服务</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pPr>
      <w:r>
        <w:rPr>
          <w:spacing w:val="-1"/>
        </w:rPr>
        <w:t>1、包括需求调研、科室情况调研、信息化情况调</w:t>
      </w:r>
      <w:r>
        <w:rPr>
          <w:spacing w:val="-2"/>
        </w:rPr>
        <w:t>研、员工问卷调研，根据</w:t>
      </w:r>
      <w:r>
        <w:rPr>
          <w:spacing w:val="-5"/>
        </w:rPr>
        <w:t>医院调研情况编写调研分析报告。</w:t>
      </w:r>
    </w:p>
    <w:p>
      <w:pPr>
        <w:pStyle w:val="2"/>
        <w:keepNext w:val="0"/>
        <w:keepLines w:val="0"/>
        <w:pageBreakBefore w:val="0"/>
        <w:widowControl w:val="0"/>
        <w:kinsoku/>
        <w:wordWrap/>
        <w:overflowPunct/>
        <w:topLinePunct w:val="0"/>
        <w:autoSpaceDE/>
        <w:autoSpaceDN/>
        <w:bidi w:val="0"/>
        <w:adjustRightInd w:val="0"/>
        <w:snapToGrid w:val="0"/>
        <w:spacing w:before="40" w:line="560" w:lineRule="exact"/>
        <w:ind w:left="420" w:leftChars="200" w:firstLine="476" w:firstLineChars="200"/>
        <w:textAlignment w:val="auto"/>
      </w:pPr>
      <w:r>
        <w:rPr>
          <w:spacing w:val="-1"/>
        </w:rPr>
        <w:t>2、针对调研结果中发现的问题，给出对应的解决</w:t>
      </w:r>
      <w:r>
        <w:rPr>
          <w:spacing w:val="-2"/>
        </w:rPr>
        <w:t>方案，并提出优化建议。</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3、根据医院相关运营数据进行分析，从分析结果中发现医院运营管理中存在的问题，进行诊断、提出建议，编写运营数据分析汇总到调研分析报告，且有针对性地制订绩效改革方案。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firstLine="472" w:firstLineChars="200"/>
        <w:textAlignment w:val="auto"/>
        <w:rPr>
          <w:spacing w:val="-2"/>
        </w:rPr>
      </w:pPr>
      <w:r>
        <w:rPr>
          <w:spacing w:val="-2"/>
        </w:rPr>
        <w:t>（二）医院各职系绩效工资体系设计服务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840" w:leftChars="400" w:firstLine="0" w:firstLineChars="0"/>
        <w:jc w:val="both"/>
        <w:textAlignment w:val="auto"/>
        <w:rPr>
          <w:rFonts w:hint="eastAsia" w:ascii="仿宋" w:hAnsi="仿宋" w:eastAsia="仿宋" w:cs="仿宋"/>
          <w:b w:val="0"/>
          <w:bCs w:val="0"/>
          <w:sz w:val="24"/>
          <w:szCs w:val="24"/>
        </w:rPr>
      </w:pPr>
      <w:r>
        <w:rPr>
          <w:b w:val="0"/>
          <w:bCs w:val="0"/>
          <w:spacing w:val="-1"/>
          <w:sz w:val="24"/>
          <w:szCs w:val="24"/>
        </w:rPr>
        <w:t>1、</w:t>
      </w:r>
      <w:r>
        <w:rPr>
          <w:rFonts w:hint="eastAsia" w:ascii="仿宋" w:hAnsi="仿宋" w:eastAsia="仿宋" w:cs="仿宋"/>
          <w:b w:val="0"/>
          <w:bCs w:val="0"/>
          <w:color w:val="000000"/>
          <w:kern w:val="0"/>
          <w:sz w:val="24"/>
          <w:szCs w:val="24"/>
          <w:lang w:val="en-US" w:eastAsia="zh-CN" w:bidi="ar"/>
        </w:rPr>
        <w:t>绩效方案应当符合国家卫生健康委“九项准则”，公立医院薪酬制度改革、</w:t>
      </w:r>
    </w:p>
    <w:p>
      <w:pPr>
        <w:keepNext w:val="0"/>
        <w:keepLines w:val="0"/>
        <w:pageBreakBefore w:val="0"/>
        <w:widowControl/>
        <w:suppressLineNumbers w:val="0"/>
        <w:kinsoku/>
        <w:wordWrap/>
        <w:overflowPunct/>
        <w:topLinePunct w:val="0"/>
        <w:autoSpaceDE/>
        <w:autoSpaceDN/>
        <w:bidi w:val="0"/>
        <w:adjustRightInd/>
        <w:snapToGrid/>
        <w:spacing w:line="560" w:lineRule="exact"/>
        <w:ind w:left="900" w:leftChars="200" w:hanging="480" w:hanging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三级公立医院绩效考核、公立医院高质量发展等相关文件规定，医务人员的绩效</w:t>
      </w:r>
    </w:p>
    <w:p>
      <w:pPr>
        <w:keepNext w:val="0"/>
        <w:keepLines w:val="0"/>
        <w:pageBreakBefore w:val="0"/>
        <w:widowControl/>
        <w:suppressLineNumbers w:val="0"/>
        <w:kinsoku/>
        <w:wordWrap/>
        <w:overflowPunct/>
        <w:topLinePunct w:val="0"/>
        <w:autoSpaceDE/>
        <w:autoSpaceDN/>
        <w:bidi w:val="0"/>
        <w:adjustRightInd/>
        <w:snapToGrid/>
        <w:spacing w:line="560" w:lineRule="exact"/>
        <w:ind w:left="900" w:leftChars="200" w:hanging="480" w:hanging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工资不能与收入挂钩，符合医保支付政策要求。</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rFonts w:hint="eastAsia"/>
          <w:spacing w:val="-1"/>
          <w:lang w:val="en-US" w:eastAsia="zh-CN"/>
        </w:rPr>
        <w:t>2、</w:t>
      </w:r>
      <w:r>
        <w:rPr>
          <w:spacing w:val="-1"/>
        </w:rPr>
        <w:t>方案要能够体现“两个允许”的落实和执行，尊重医务人员劳动和付出，建立科学长效的绩效运行增长补偿机制，切实维护公益性，调动人员积极性，保障发展的可持续。</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3、注重对医院绩效管理及绩效分配业务的顶层设计，以医院战略目标为导向，以工作量评价为基础，以质量和成本控制为支撑，建立完整的绩效架构， 通过工作绩效、运营绩效和管理绩效构建院科以及个人的综合评估、考核管理体系。</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4、实行临床、医技、护理等可执行 RBRVS 理念的核算单元分别进行绩效工资核算。方案中应当设计体现医护分开后仍能保持医、护之间合作的方法，方法具有可操作性和公平性。</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5、对临床医生和护理人员建立二次分配指导意见，各核算单元实行“院科两级分配制度”。明确在二次分配考核中医院层面和科室层面的权限管理。二次考核分配方案既要体现科室发展规划，又要体现每个科室的特性。</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6、借助 RBRVS 工具，对科室工作量、服务量进行综合评价考核，确定科室工作量绩效，同时考核科室可控成本，根据具体情况设置关键绩效指标和专项奖励影响科室绩效。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7、依据 RBRVS（以资源为基础的相对价值比率）把全院医疗收费项目或非收费项目工作转换为绩效点数（积分），作为衡量医务、护理、医技人员的工作量的基准。</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8、方案中应体现服务量因素。把门诊人次、出院人次、占用床日量化为绩效点数（积分），服务量的绩效点数（积分）应当可以按照医保政策进行调整。</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9、方案中应体现临床医生研判分析检查、检验结果的劳动付出，但是不能以检查和检验项目的收入衡量医务人员的劳动付出。</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10、方案中应体现临床医生在研判分析检查、执行、手术、会诊、服务量的各项工作量，以衡量医务人员的公平薪酬水平。</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11、病区护理人员的绩效关键指标应侧重病区病人数及病人严重度，测算各病区护理单位护理风险难度系数，兼顾每月照顾患者床日数与入(出)院人次，不与各科室收支结余挂钩，绩效工资的组成主要由服务量、效能效率、补偿性绩效部分，各部分权重需科学设定。</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12、对临床、医技、护理以及后勤服务保障等单元制定相应核算办法。</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13、提供医技科室工作量核算方案，提高医疗设备的运行效率，管控成本是医技绩效的侧重点。</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14、实现成本管控的目标。供应商应设置有针对性的可控成本管理方案。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15、方案中须体现对节假日、夜班、误餐、急诊手术、特岗等补偿性绩效工资设计。</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16、方案中对于手术工作量和新技术、新项目的开展单独设置激励性方案。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17、方案中体现开展中医适宜技术的激励机制。</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266" w:firstLine="476" w:firstLineChars="200"/>
        <w:textAlignment w:val="auto"/>
        <w:rPr>
          <w:spacing w:val="-1"/>
        </w:rPr>
      </w:pPr>
      <w:r>
        <w:rPr>
          <w:spacing w:val="-1"/>
        </w:rPr>
        <w:t>18、药品、耗材收入不纳入绩效工资核算因素。</w:t>
      </w:r>
    </w:p>
    <w:p>
      <w:pPr>
        <w:pStyle w:val="2"/>
        <w:keepNext w:val="0"/>
        <w:keepLines w:val="0"/>
        <w:pageBreakBefore w:val="0"/>
        <w:widowControl w:val="0"/>
        <w:kinsoku/>
        <w:wordWrap/>
        <w:overflowPunct/>
        <w:topLinePunct w:val="0"/>
        <w:autoSpaceDE/>
        <w:autoSpaceDN/>
        <w:bidi w:val="0"/>
        <w:adjustRightInd w:val="0"/>
        <w:snapToGrid w:val="0"/>
        <w:spacing w:before="182" w:line="560" w:lineRule="exact"/>
        <w:ind w:left="420" w:leftChars="200" w:right="100" w:firstLine="464" w:firstLineChars="200"/>
        <w:textAlignment w:val="auto"/>
      </w:pPr>
      <w:r>
        <w:rPr>
          <w:spacing w:val="-4"/>
        </w:rPr>
        <w:t>19、绩效考核方案支持</w:t>
      </w:r>
      <w:r>
        <w:rPr>
          <w:spacing w:val="-34"/>
        </w:rPr>
        <w:t xml:space="preserve"> </w:t>
      </w:r>
      <w:r>
        <w:rPr>
          <w:spacing w:val="-4"/>
        </w:rPr>
        <w:t>KPI</w:t>
      </w:r>
      <w:r>
        <w:rPr>
          <w:spacing w:val="-37"/>
        </w:rPr>
        <w:t xml:space="preserve"> </w:t>
      </w:r>
      <w:r>
        <w:rPr>
          <w:spacing w:val="-4"/>
        </w:rPr>
        <w:t>关键指标、BSC</w:t>
      </w:r>
      <w:r>
        <w:rPr>
          <w:spacing w:val="-45"/>
        </w:rPr>
        <w:t xml:space="preserve"> </w:t>
      </w:r>
      <w:r>
        <w:rPr>
          <w:spacing w:val="-4"/>
        </w:rPr>
        <w:t>平衡记分卡、MBO 目标管理等多</w:t>
      </w:r>
      <w:r>
        <w:rPr>
          <w:spacing w:val="-7"/>
        </w:rPr>
        <w:t>种应用工具。</w:t>
      </w:r>
    </w:p>
    <w:p>
      <w:pPr>
        <w:pStyle w:val="2"/>
        <w:keepNext w:val="0"/>
        <w:keepLines w:val="0"/>
        <w:pageBreakBefore w:val="0"/>
        <w:widowControl w:val="0"/>
        <w:kinsoku/>
        <w:wordWrap/>
        <w:overflowPunct/>
        <w:topLinePunct w:val="0"/>
        <w:autoSpaceDE/>
        <w:autoSpaceDN/>
        <w:bidi w:val="0"/>
        <w:adjustRightInd w:val="0"/>
        <w:snapToGrid w:val="0"/>
        <w:spacing w:before="181" w:line="560" w:lineRule="exact"/>
        <w:ind w:left="420" w:leftChars="200" w:right="160" w:firstLine="476" w:firstLineChars="200"/>
        <w:textAlignment w:val="auto"/>
      </w:pPr>
      <w:r>
        <w:rPr>
          <w:spacing w:val="-1"/>
        </w:rPr>
        <w:t>2</w:t>
      </w:r>
      <w:r>
        <w:rPr>
          <w:rFonts w:hint="eastAsia"/>
          <w:spacing w:val="-1"/>
          <w:lang w:val="en-US" w:eastAsia="zh-CN"/>
        </w:rPr>
        <w:t>0</w:t>
      </w:r>
      <w:r>
        <w:rPr>
          <w:spacing w:val="-1"/>
        </w:rPr>
        <w:t>、供应商负责整个绩效系统数据测算，协助医院对相关数据进行前期准备、从相关科室提取绩效数据，依据历史数据通过数学建模方法测算出参数，使测算结果符合采购人的要求。对于绩效数据的测算结果，应在全院不同层面进行全员培训，并配合医院主管绩效工作的科室部门做好绩效方案的解释、沟</w:t>
      </w:r>
      <w:r>
        <w:rPr>
          <w:spacing w:val="-10"/>
        </w:rPr>
        <w:t>通工作。</w:t>
      </w:r>
    </w:p>
    <w:p>
      <w:pPr>
        <w:pStyle w:val="2"/>
        <w:keepNext w:val="0"/>
        <w:keepLines w:val="0"/>
        <w:pageBreakBefore w:val="0"/>
        <w:widowControl w:val="0"/>
        <w:kinsoku/>
        <w:wordWrap/>
        <w:overflowPunct/>
        <w:topLinePunct w:val="0"/>
        <w:autoSpaceDE/>
        <w:autoSpaceDN/>
        <w:bidi w:val="0"/>
        <w:adjustRightInd w:val="0"/>
        <w:snapToGrid w:val="0"/>
        <w:spacing w:before="182" w:line="560" w:lineRule="exact"/>
        <w:ind w:left="420" w:leftChars="200" w:right="160" w:firstLine="480" w:firstLineChars="200"/>
        <w:textAlignment w:val="auto"/>
      </w:pPr>
      <w:r>
        <w:t>21、建立整体方案和项目实施计划，做到一</w:t>
      </w:r>
      <w:r>
        <w:rPr>
          <w:spacing w:val="-1"/>
        </w:rPr>
        <w:t>周一计划、一周一总结，推进工作中遇到的问题及时向绩效主管部门负责人汇报、沟通。依据基础工作完成情况和员工接受程度稳步推进平稳过度降低管理改革风险，对外依据医保政</w:t>
      </w:r>
      <w:r>
        <w:rPr>
          <w:spacing w:val="-3"/>
        </w:rPr>
        <w:t>策、物价收费调整实现可持续改进。</w:t>
      </w:r>
    </w:p>
    <w:p>
      <w:pPr>
        <w:pStyle w:val="2"/>
        <w:keepNext w:val="0"/>
        <w:keepLines w:val="0"/>
        <w:pageBreakBefore w:val="0"/>
        <w:widowControl w:val="0"/>
        <w:kinsoku/>
        <w:wordWrap/>
        <w:overflowPunct/>
        <w:topLinePunct w:val="0"/>
        <w:autoSpaceDE/>
        <w:autoSpaceDN/>
        <w:bidi w:val="0"/>
        <w:adjustRightInd w:val="0"/>
        <w:snapToGrid w:val="0"/>
        <w:spacing w:before="181" w:line="560" w:lineRule="exact"/>
        <w:ind w:left="420" w:leftChars="200" w:right="236" w:firstLine="476" w:firstLineChars="200"/>
        <w:textAlignment w:val="auto"/>
        <w:rPr>
          <w:spacing w:val="-5"/>
        </w:rPr>
      </w:pPr>
      <w:r>
        <w:rPr>
          <w:spacing w:val="-1"/>
        </w:rPr>
        <w:t>22、项目实施中应结合带教的模式进行，指导并传授整个咨询方案中的所</w:t>
      </w:r>
      <w:r>
        <w:rPr>
          <w:spacing w:val="-5"/>
        </w:rPr>
        <w:t>有知识理论体系。</w:t>
      </w:r>
    </w:p>
    <w:p>
      <w:pPr>
        <w:pStyle w:val="2"/>
        <w:keepNext w:val="0"/>
        <w:keepLines w:val="0"/>
        <w:pageBreakBefore w:val="0"/>
        <w:widowControl w:val="0"/>
        <w:kinsoku/>
        <w:wordWrap/>
        <w:overflowPunct/>
        <w:topLinePunct w:val="0"/>
        <w:autoSpaceDE/>
        <w:autoSpaceDN/>
        <w:bidi w:val="0"/>
        <w:adjustRightInd w:val="0"/>
        <w:snapToGrid w:val="0"/>
        <w:spacing w:before="178" w:line="560" w:lineRule="exact"/>
        <w:ind w:left="420" w:leftChars="200" w:firstLine="468" w:firstLineChars="200"/>
        <w:textAlignment w:val="auto"/>
      </w:pPr>
      <w:r>
        <w:rPr>
          <w:spacing w:val="-3"/>
        </w:rPr>
        <w:t>（三）科室成本控制方案设计</w:t>
      </w:r>
    </w:p>
    <w:p>
      <w:pPr>
        <w:pStyle w:val="2"/>
        <w:keepNext w:val="0"/>
        <w:keepLines w:val="0"/>
        <w:pageBreakBefore w:val="0"/>
        <w:widowControl w:val="0"/>
        <w:kinsoku/>
        <w:wordWrap/>
        <w:overflowPunct/>
        <w:topLinePunct w:val="0"/>
        <w:autoSpaceDE/>
        <w:autoSpaceDN/>
        <w:bidi w:val="0"/>
        <w:adjustRightInd w:val="0"/>
        <w:snapToGrid w:val="0"/>
        <w:spacing w:before="180" w:line="560" w:lineRule="exact"/>
        <w:ind w:left="420" w:leftChars="200" w:firstLine="476" w:firstLineChars="200"/>
        <w:textAlignment w:val="auto"/>
      </w:pPr>
      <w:r>
        <w:rPr>
          <w:spacing w:val="-1"/>
        </w:rPr>
        <w:t>为提高医院职工节约意识，要求供应商建立合理的医院科室成本控制方案，将医院成本细化分类，分析医院成本结构，找出主要成本项目，并区分可控成本与不可控成本，合理设置可控成本管控手段，建立信息监控,合理设计科</w:t>
      </w:r>
      <w:r>
        <w:rPr>
          <w:spacing w:val="-8"/>
        </w:rPr>
        <w:t>室成本扣除比重。</w:t>
      </w:r>
    </w:p>
    <w:p>
      <w:pPr>
        <w:pStyle w:val="2"/>
        <w:keepNext w:val="0"/>
        <w:keepLines w:val="0"/>
        <w:pageBreakBefore w:val="0"/>
        <w:widowControl w:val="0"/>
        <w:kinsoku/>
        <w:wordWrap/>
        <w:overflowPunct/>
        <w:topLinePunct w:val="0"/>
        <w:autoSpaceDE/>
        <w:autoSpaceDN/>
        <w:bidi w:val="0"/>
        <w:adjustRightInd w:val="0"/>
        <w:snapToGrid w:val="0"/>
        <w:spacing w:before="38" w:line="560" w:lineRule="exact"/>
        <w:ind w:left="420" w:leftChars="200" w:firstLine="468" w:firstLineChars="200"/>
        <w:textAlignment w:val="auto"/>
      </w:pPr>
      <w:r>
        <w:rPr>
          <w:spacing w:val="-3"/>
        </w:rPr>
        <w:t>1、将成本进行分摊管控，并对医院科室的分摊管控进行举例说明；</w:t>
      </w:r>
    </w:p>
    <w:p>
      <w:pPr>
        <w:pStyle w:val="2"/>
        <w:keepNext w:val="0"/>
        <w:keepLines w:val="0"/>
        <w:pageBreakBefore w:val="0"/>
        <w:widowControl w:val="0"/>
        <w:kinsoku/>
        <w:wordWrap/>
        <w:overflowPunct/>
        <w:topLinePunct w:val="0"/>
        <w:autoSpaceDE/>
        <w:autoSpaceDN/>
        <w:bidi w:val="0"/>
        <w:adjustRightInd w:val="0"/>
        <w:snapToGrid w:val="0"/>
        <w:spacing w:before="181" w:line="560" w:lineRule="exact"/>
        <w:ind w:left="420" w:leftChars="200" w:firstLine="476" w:firstLineChars="200"/>
        <w:textAlignment w:val="auto"/>
      </w:pPr>
      <w:r>
        <w:rPr>
          <w:spacing w:val="-1"/>
        </w:rPr>
        <w:t>2、对不同科室分摊设计方案及科内各核算单元间</w:t>
      </w:r>
      <w:r>
        <w:rPr>
          <w:spacing w:val="-2"/>
        </w:rPr>
        <w:t>分摊关系进行举例说明。</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firstLine="468" w:firstLineChars="200"/>
        <w:textAlignment w:val="auto"/>
      </w:pPr>
      <w:r>
        <w:rPr>
          <w:spacing w:val="-3"/>
        </w:rPr>
        <w:t>（四）新技术诊疗项目绩效激励方案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160" w:firstLine="476" w:firstLineChars="200"/>
        <w:textAlignment w:val="auto"/>
      </w:pPr>
      <w:r>
        <w:rPr>
          <w:spacing w:val="-1"/>
        </w:rPr>
        <w:t>为提高手术率和新技术新项目的开展，供应商应制定新技术新项目的专项绩效方案，达到增加微创介入手术量和质的作用，设立特色专科技术绩效，鼓励内科转型发展，而且中药及中医传统特色疗法是中医院的立院之本，因此在绩效方案设计时必须要考虑对中药及中医传统特色疗法给予足够的激励与引</w:t>
      </w:r>
      <w:r>
        <w:rPr>
          <w:spacing w:val="-13"/>
        </w:rPr>
        <w:t>导。</w:t>
      </w:r>
    </w:p>
    <w:p>
      <w:pPr>
        <w:pStyle w:val="2"/>
        <w:keepNext w:val="0"/>
        <w:keepLines w:val="0"/>
        <w:pageBreakBefore w:val="0"/>
        <w:widowControl w:val="0"/>
        <w:kinsoku/>
        <w:wordWrap/>
        <w:overflowPunct/>
        <w:topLinePunct w:val="0"/>
        <w:autoSpaceDE/>
        <w:autoSpaceDN/>
        <w:bidi w:val="0"/>
        <w:adjustRightInd w:val="0"/>
        <w:snapToGrid w:val="0"/>
        <w:spacing w:before="177" w:line="560" w:lineRule="exact"/>
        <w:ind w:left="420" w:leftChars="200" w:firstLine="468" w:firstLineChars="200"/>
        <w:textAlignment w:val="auto"/>
      </w:pPr>
      <w:r>
        <w:rPr>
          <w:spacing w:val="-3"/>
        </w:rPr>
        <w:t>（五）二次分配指导方案</w:t>
      </w:r>
    </w:p>
    <w:p>
      <w:pPr>
        <w:pStyle w:val="2"/>
        <w:keepNext w:val="0"/>
        <w:keepLines w:val="0"/>
        <w:pageBreakBefore w:val="0"/>
        <w:widowControl w:val="0"/>
        <w:kinsoku/>
        <w:wordWrap/>
        <w:overflowPunct/>
        <w:topLinePunct w:val="0"/>
        <w:autoSpaceDE/>
        <w:autoSpaceDN/>
        <w:bidi w:val="0"/>
        <w:adjustRightInd w:val="0"/>
        <w:snapToGrid w:val="0"/>
        <w:spacing w:before="178" w:line="560" w:lineRule="exact"/>
        <w:ind w:left="420" w:leftChars="200" w:firstLine="472" w:firstLineChars="200"/>
        <w:textAlignment w:val="auto"/>
      </w:pPr>
      <w:r>
        <w:rPr>
          <w:spacing w:val="-2"/>
        </w:rPr>
        <w:t>为了更好地完成全院的整体目标任务，加快学科发展，充分发挥科主任、</w:t>
      </w:r>
      <w:r>
        <w:rPr>
          <w:spacing w:val="-1"/>
        </w:rPr>
        <w:t>护士长的管理职能，建立有责任、有纪律、有激励、有竞争、有约束、充满生机和活力的内部运营机制；更好发挥职工工作积极性，指导、监督各科室内部二次分配考核，适应 “以工作量为基础的绩效考核分配方案”的调整，以各科</w:t>
      </w:r>
      <w:r>
        <w:rPr>
          <w:spacing w:val="-2"/>
        </w:rPr>
        <w:t>主任、护士长对本职系的管理思路为主，提供各职系二次分配指导办法。</w:t>
      </w:r>
    </w:p>
    <w:p>
      <w:pPr>
        <w:pStyle w:val="2"/>
        <w:keepNext w:val="0"/>
        <w:keepLines w:val="0"/>
        <w:pageBreakBefore w:val="0"/>
        <w:widowControl w:val="0"/>
        <w:kinsoku/>
        <w:wordWrap/>
        <w:overflowPunct/>
        <w:topLinePunct w:val="0"/>
        <w:autoSpaceDE/>
        <w:autoSpaceDN/>
        <w:bidi w:val="0"/>
        <w:adjustRightInd w:val="0"/>
        <w:snapToGrid w:val="0"/>
        <w:spacing w:before="39" w:line="560" w:lineRule="exact"/>
        <w:ind w:left="420" w:leftChars="200" w:firstLine="472" w:firstLineChars="200"/>
        <w:textAlignment w:val="auto"/>
      </w:pPr>
      <w:r>
        <w:rPr>
          <w:spacing w:val="-2"/>
        </w:rPr>
        <w:t>（六）临床科室负责人、护士长绩效考核方案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159" w:firstLine="476" w:firstLineChars="200"/>
        <w:textAlignment w:val="auto"/>
      </w:pPr>
      <w:r>
        <w:rPr>
          <w:spacing w:val="-1"/>
        </w:rPr>
        <w:t>为保障临床中层管理干部对科室工作计划、进度、结果及团队管理等事项</w:t>
      </w:r>
      <w:r>
        <w:rPr>
          <w:spacing w:val="6"/>
        </w:rPr>
        <w:t xml:space="preserve"> </w:t>
      </w:r>
      <w:r>
        <w:rPr>
          <w:spacing w:val="-1"/>
        </w:rPr>
        <w:t>进行履职，促进医院战略目标落地。要求通过制定临床科室负责人、护士长绩</w:t>
      </w:r>
      <w:r>
        <w:rPr>
          <w:spacing w:val="15"/>
        </w:rPr>
        <w:t xml:space="preserve"> </w:t>
      </w:r>
      <w:r>
        <w:rPr>
          <w:spacing w:val="-1"/>
        </w:rPr>
        <w:t>效考核方案，从而实现临床中层干部的自我管理、科室管理、科室激励、科室</w:t>
      </w:r>
      <w:r>
        <w:rPr>
          <w:spacing w:val="-3"/>
        </w:rPr>
        <w:t>发展的潜力，实现科室良好平稳发展。</w:t>
      </w:r>
    </w:p>
    <w:p>
      <w:pPr>
        <w:pStyle w:val="2"/>
        <w:keepNext w:val="0"/>
        <w:keepLines w:val="0"/>
        <w:pageBreakBefore w:val="0"/>
        <w:widowControl w:val="0"/>
        <w:kinsoku/>
        <w:wordWrap/>
        <w:overflowPunct/>
        <w:topLinePunct w:val="0"/>
        <w:autoSpaceDE/>
        <w:autoSpaceDN/>
        <w:bidi w:val="0"/>
        <w:adjustRightInd w:val="0"/>
        <w:snapToGrid w:val="0"/>
        <w:spacing w:before="44" w:line="560" w:lineRule="exact"/>
        <w:ind w:left="420" w:leftChars="200" w:right="160" w:firstLine="476" w:firstLineChars="200"/>
        <w:jc w:val="both"/>
        <w:textAlignment w:val="auto"/>
      </w:pPr>
      <w:r>
        <w:rPr>
          <w:spacing w:val="-1"/>
        </w:rPr>
        <w:t>科主任、护士长管理绩效应由医院单独考核发放。科主任、护士长绩效由科室人均绩效、管理人数、科室运营综合评价等三大指标构成，同时体现临床</w:t>
      </w:r>
      <w:r>
        <w:rPr>
          <w:spacing w:val="-5"/>
        </w:rPr>
        <w:t>科室负责人工作量。</w:t>
      </w:r>
    </w:p>
    <w:p>
      <w:pPr>
        <w:pStyle w:val="2"/>
        <w:keepNext w:val="0"/>
        <w:keepLines w:val="0"/>
        <w:pageBreakBefore w:val="0"/>
        <w:widowControl w:val="0"/>
        <w:kinsoku/>
        <w:wordWrap/>
        <w:overflowPunct/>
        <w:topLinePunct w:val="0"/>
        <w:autoSpaceDE/>
        <w:autoSpaceDN/>
        <w:bidi w:val="0"/>
        <w:adjustRightInd w:val="0"/>
        <w:snapToGrid w:val="0"/>
        <w:spacing w:before="42" w:line="560" w:lineRule="exact"/>
        <w:ind w:left="420" w:leftChars="200" w:firstLine="472" w:firstLineChars="200"/>
        <w:textAlignment w:val="auto"/>
      </w:pPr>
      <w:r>
        <w:rPr>
          <w:spacing w:val="-2"/>
        </w:rPr>
        <w:t>（七）</w:t>
      </w:r>
      <w:r>
        <w:rPr>
          <w:rFonts w:hint="eastAsia"/>
          <w:spacing w:val="-2"/>
          <w:lang w:eastAsia="zh-CN"/>
        </w:rPr>
        <w:t>三</w:t>
      </w:r>
      <w:r>
        <w:rPr>
          <w:spacing w:val="-2"/>
        </w:rPr>
        <w:t>级公立中医院绩效评价指标应用方案</w:t>
      </w:r>
    </w:p>
    <w:p>
      <w:pPr>
        <w:pStyle w:val="2"/>
        <w:keepNext w:val="0"/>
        <w:keepLines w:val="0"/>
        <w:pageBreakBefore w:val="0"/>
        <w:widowControl w:val="0"/>
        <w:kinsoku/>
        <w:wordWrap/>
        <w:overflowPunct/>
        <w:topLinePunct w:val="0"/>
        <w:autoSpaceDE/>
        <w:autoSpaceDN/>
        <w:bidi w:val="0"/>
        <w:adjustRightInd w:val="0"/>
        <w:snapToGrid w:val="0"/>
        <w:spacing w:before="60" w:line="560" w:lineRule="exact"/>
        <w:ind w:left="420" w:leftChars="200" w:right="124" w:firstLine="472" w:firstLineChars="200"/>
        <w:textAlignment w:val="auto"/>
      </w:pPr>
      <w:r>
        <w:rPr>
          <w:spacing w:val="-2"/>
        </w:rPr>
        <w:t>在绩效方案中融入国考指标，根据中医药管理局发布的《</w:t>
      </w:r>
      <w:r>
        <w:rPr>
          <w:rFonts w:hint="eastAsia"/>
          <w:spacing w:val="-2"/>
          <w:lang w:eastAsia="zh-CN"/>
        </w:rPr>
        <w:t>三</w:t>
      </w:r>
      <w:r>
        <w:rPr>
          <w:spacing w:val="-2"/>
        </w:rPr>
        <w:t>级公立中医</w:t>
      </w:r>
      <w:r>
        <w:rPr>
          <w:spacing w:val="-1"/>
        </w:rPr>
        <w:t>医院绩效考核指标》将指标体系中明确要求由医疗质量、运营效</w:t>
      </w:r>
      <w:r>
        <w:rPr>
          <w:spacing w:val="-2"/>
        </w:rPr>
        <w:t>率、持续发展、满意度评价四方面中可量化、可提取的纳入到院内绩效考核中。</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60" w:line="560" w:lineRule="exact"/>
        <w:ind w:left="420" w:leftChars="200" w:firstLine="476" w:firstLineChars="200"/>
        <w:textAlignment w:val="auto"/>
        <w:rPr>
          <w:rFonts w:hint="eastAsia"/>
          <w:spacing w:val="-1"/>
          <w:lang w:eastAsia="zh-CN"/>
        </w:rPr>
      </w:pPr>
      <w:r>
        <w:rPr>
          <w:rFonts w:hint="eastAsia"/>
          <w:spacing w:val="-1"/>
          <w:lang w:eastAsia="zh-CN"/>
        </w:rPr>
        <w:t>其他服务要求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60" w:line="560" w:lineRule="exact"/>
        <w:ind w:left="420" w:leftChars="200" w:firstLine="476" w:firstLineChars="200"/>
        <w:textAlignment w:val="auto"/>
      </w:pPr>
      <w:r>
        <w:rPr>
          <w:spacing w:val="-1"/>
        </w:rPr>
        <w:t>随着国家政策的调整，医院质量、目标考核方案及考核方式</w:t>
      </w:r>
      <w:r>
        <w:rPr>
          <w:spacing w:val="-2"/>
        </w:rPr>
        <w:t>也须做相应</w:t>
      </w:r>
      <w:r>
        <w:rPr>
          <w:spacing w:val="-4"/>
        </w:rPr>
        <w:t>的更新调其他服务要求</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02" w:firstLine="476" w:firstLineChars="200"/>
        <w:textAlignment w:val="auto"/>
      </w:pPr>
      <w:r>
        <w:rPr>
          <w:spacing w:val="-1"/>
        </w:rPr>
        <w:t>1</w:t>
      </w:r>
      <w:r>
        <w:rPr>
          <w:rFonts w:hint="eastAsia"/>
          <w:spacing w:val="-1"/>
          <w:lang w:val="en-US" w:eastAsia="zh-CN"/>
        </w:rPr>
        <w:t>.</w:t>
      </w:r>
      <w:r>
        <w:rPr>
          <w:spacing w:val="-1"/>
        </w:rPr>
        <w:t>咨询服务需要提供医生、护理、医技、辅助科室定量考核方案及行政后</w:t>
      </w:r>
      <w:r>
        <w:rPr>
          <w:spacing w:val="6"/>
        </w:rPr>
        <w:t xml:space="preserve"> </w:t>
      </w:r>
      <w:r>
        <w:rPr>
          <w:spacing w:val="-2"/>
        </w:rPr>
        <w:t>勤指导方案，投标时可以提供基础方案，在实施时提供分类细化的方案。</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00" w:firstLine="480" w:firstLineChars="200"/>
        <w:textAlignment w:val="auto"/>
      </w:pPr>
      <w:r>
        <w:t>2</w:t>
      </w:r>
      <w:r>
        <w:rPr>
          <w:rFonts w:hint="eastAsia"/>
          <w:lang w:val="en-US" w:eastAsia="zh-CN"/>
        </w:rPr>
        <w:t>.</w:t>
      </w:r>
      <w:r>
        <w:t>需要培训医院工作人员在系统上学习和使</w:t>
      </w:r>
      <w:r>
        <w:rPr>
          <w:spacing w:val="-1"/>
        </w:rPr>
        <w:t>用新方案，重点做好针对培训</w:t>
      </w:r>
      <w:r>
        <w:t xml:space="preserve"> </w:t>
      </w:r>
      <w:r>
        <w:rPr>
          <w:spacing w:val="-1"/>
        </w:rPr>
        <w:t>对象的不同进行培训内容的选择，培训对象包括技术人员、管理人员、操作员</w:t>
      </w:r>
      <w:r>
        <w:rPr>
          <w:spacing w:val="-13"/>
        </w:rPr>
        <w:t>等。</w:t>
      </w:r>
    </w:p>
    <w:p>
      <w:pPr>
        <w:pStyle w:val="2"/>
        <w:keepNext w:val="0"/>
        <w:keepLines w:val="0"/>
        <w:pageBreakBefore w:val="0"/>
        <w:widowControl w:val="0"/>
        <w:kinsoku/>
        <w:wordWrap/>
        <w:overflowPunct/>
        <w:topLinePunct w:val="0"/>
        <w:autoSpaceDE/>
        <w:autoSpaceDN/>
        <w:bidi w:val="0"/>
        <w:adjustRightInd/>
        <w:snapToGrid/>
        <w:spacing w:before="177" w:line="560" w:lineRule="exact"/>
        <w:ind w:firstLine="936" w:firstLineChars="400"/>
        <w:textAlignment w:val="auto"/>
      </w:pPr>
      <w:r>
        <w:rPr>
          <w:spacing w:val="-3"/>
        </w:rPr>
        <w:t>操作员培训</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221" w:firstLine="476" w:firstLineChars="200"/>
        <w:textAlignment w:val="auto"/>
        <w:rPr>
          <w:spacing w:val="-3"/>
        </w:rPr>
      </w:pPr>
      <w:r>
        <w:rPr>
          <w:spacing w:val="-1"/>
        </w:rPr>
        <w:t>供应商针对操作员进行全员培训，提供详细的培训计划，包括培训课程内</w:t>
      </w:r>
      <w:r>
        <w:rPr>
          <w:spacing w:val="-8"/>
        </w:rPr>
        <w:t>容（以操作为主）、培训制度、培训考核办法等。</w:t>
      </w:r>
    </w:p>
    <w:p>
      <w:pPr>
        <w:pStyle w:val="2"/>
        <w:keepNext w:val="0"/>
        <w:keepLines w:val="0"/>
        <w:pageBreakBefore w:val="0"/>
        <w:widowControl w:val="0"/>
        <w:kinsoku/>
        <w:wordWrap/>
        <w:overflowPunct/>
        <w:topLinePunct w:val="0"/>
        <w:autoSpaceDE/>
        <w:autoSpaceDN/>
        <w:bidi w:val="0"/>
        <w:adjustRightInd/>
        <w:snapToGrid/>
        <w:spacing w:before="41" w:line="560" w:lineRule="exact"/>
        <w:ind w:left="420" w:leftChars="200" w:firstLine="468" w:firstLineChars="200"/>
        <w:textAlignment w:val="auto"/>
      </w:pPr>
      <w:r>
        <w:rPr>
          <w:spacing w:val="-3"/>
        </w:rPr>
        <w:t>技术人员培训</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59" w:firstLine="476" w:firstLineChars="200"/>
        <w:textAlignment w:val="auto"/>
      </w:pPr>
      <w:r>
        <w:rPr>
          <w:spacing w:val="-1"/>
        </w:rPr>
        <w:t>供应商应负责采购人技术人员的培训，提供详细的培训计划，并对参加培训的技术人员提出基本要求；培训内容应包括系统管理、维护、数据库及其他</w:t>
      </w:r>
      <w:r>
        <w:rPr>
          <w:spacing w:val="-10"/>
        </w:rPr>
        <w:t>软件等。</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59" w:firstLine="476" w:firstLineChars="200"/>
        <w:textAlignment w:val="auto"/>
        <w:rPr>
          <w:spacing w:val="-1"/>
        </w:rPr>
      </w:pPr>
      <w:r>
        <w:rPr>
          <w:spacing w:val="-1"/>
        </w:rPr>
        <w:t>管理人员培训</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59" w:firstLine="476" w:firstLineChars="200"/>
        <w:textAlignment w:val="auto"/>
        <w:rPr>
          <w:rFonts w:hint="eastAsia"/>
          <w:spacing w:val="-1"/>
          <w:lang w:eastAsia="zh-CN"/>
        </w:rPr>
      </w:pPr>
      <w:r>
        <w:rPr>
          <w:spacing w:val="-1"/>
        </w:rPr>
        <w:t>供应商应负责采购人管理人员的培训，提供详细的培训计划，并对参加培训的技术人员提出基本要求；培训内容应包括系统流程和相关管理理念</w:t>
      </w:r>
      <w:r>
        <w:rPr>
          <w:rFonts w:hint="eastAsia"/>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before="60" w:line="560" w:lineRule="exact"/>
        <w:ind w:left="420" w:leftChars="200" w:right="159" w:firstLine="476" w:firstLineChars="200"/>
        <w:textAlignment w:val="auto"/>
        <w:rPr>
          <w:rFonts w:hint="eastAsia"/>
          <w:spacing w:val="-1"/>
          <w:lang w:eastAsia="zh-CN"/>
        </w:rPr>
        <w:sectPr>
          <w:pgSz w:w="11907" w:h="16839"/>
          <w:pgMar w:top="1417" w:right="1020" w:bottom="1134" w:left="1247" w:header="0" w:footer="0" w:gutter="0"/>
          <w:cols w:space="720" w:num="1"/>
        </w:sect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905D"/>
    <w:multiLevelType w:val="singleLevel"/>
    <w:tmpl w:val="0193905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2F93C2A"/>
    <w:rsid w:val="3FE2229C"/>
    <w:rsid w:val="415C4A35"/>
    <w:rsid w:val="43CA31A2"/>
    <w:rsid w:val="4C635F87"/>
    <w:rsid w:val="589B5E6B"/>
    <w:rsid w:val="64783648"/>
    <w:rsid w:val="75CA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580</Words>
  <Characters>584</Characters>
  <Lines>0</Lines>
  <Paragraphs>0</Paragraphs>
  <TotalTime>1</TotalTime>
  <ScaleCrop>false</ScaleCrop>
  <LinksUpToDate>false</LinksUpToDate>
  <CharactersWithSpaces>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Administrator.AB-201908100841</dc:creator>
  <cp:lastModifiedBy>王宏山宣教科</cp:lastModifiedBy>
  <dcterms:modified xsi:type="dcterms:W3CDTF">2024-06-04T09:36:24Z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4238E3A3B678482F8BCD7A301664FC10_13</vt:lpwstr>
  </property>
</Properties>
</file>